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FA63B53" w:rsidR="00AB2896" w:rsidRPr="0013128F" w:rsidRDefault="00BD20B3">
      <w:pPr>
        <w:tabs>
          <w:tab w:val="right" w:pos="9270"/>
          <w:tab w:val="left" w:pos="9360"/>
        </w:tabs>
        <w:jc w:val="right"/>
        <w:rPr>
          <w:rFonts w:ascii="Montserrat" w:hAnsi="Montserrat"/>
          <w:b/>
          <w:bCs/>
          <w:sz w:val="52"/>
          <w:szCs w:val="52"/>
        </w:rPr>
      </w:pPr>
      <w:r>
        <w:rPr>
          <w:rFonts w:ascii="Montserrat" w:hAnsi="Montserrat"/>
          <w:b/>
          <w:bCs/>
          <w:noProof/>
          <w:sz w:val="52"/>
          <w:szCs w:val="52"/>
        </w:rPr>
        <w:drawing>
          <wp:anchor distT="0" distB="0" distL="114300" distR="114300" simplePos="0" relativeHeight="251658240" behindDoc="0" locked="0" layoutInCell="1" hidden="0" allowOverlap="1" wp14:anchorId="0D94B4D7" wp14:editId="7F7B0DAB">
            <wp:simplePos x="0" y="0"/>
            <wp:positionH relativeFrom="column">
              <wp:posOffset>53009</wp:posOffset>
            </wp:positionH>
            <wp:positionV relativeFrom="paragraph">
              <wp:posOffset>8890</wp:posOffset>
            </wp:positionV>
            <wp:extent cx="1892935" cy="304800"/>
            <wp:effectExtent l="0" t="0" r="0" b="0"/>
            <wp:wrapSquare wrapText="bothSides" distT="0" distB="0" distL="114300" distR="114300"/>
            <wp:docPr id="547849763" name="image1.png" descr="A screenshot of a video game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  Description automatically generated with low confidence"/>
                    <pic:cNvPicPr preferRelativeResize="0"/>
                  </pic:nvPicPr>
                  <pic:blipFill rotWithShape="1">
                    <a:blip r:embed="rId12"/>
                    <a:srcRect b="26381"/>
                    <a:stretch>
                      <a:fillRect/>
                    </a:stretch>
                  </pic:blipFill>
                  <pic:spPr bwMode="auto">
                    <a:xfrm>
                      <a:off x="0" y="0"/>
                      <a:ext cx="1892935"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499C">
        <w:rPr>
          <w:rFonts w:ascii="Arial" w:hAnsi="Arial" w:cs="Arial"/>
          <w:noProof/>
          <w:sz w:val="22"/>
          <w:szCs w:val="22"/>
        </w:rPr>
        <w:drawing>
          <wp:anchor distT="0" distB="0" distL="114300" distR="114300" simplePos="0" relativeHeight="251658241" behindDoc="0" locked="0" layoutInCell="1" hidden="0" allowOverlap="1" wp14:anchorId="1AE458BD" wp14:editId="373EB552">
            <wp:simplePos x="0" y="0"/>
            <wp:positionH relativeFrom="column">
              <wp:posOffset>2121535</wp:posOffset>
            </wp:positionH>
            <wp:positionV relativeFrom="paragraph">
              <wp:posOffset>9525</wp:posOffset>
            </wp:positionV>
            <wp:extent cx="1390650" cy="356870"/>
            <wp:effectExtent l="0" t="0" r="0" b="0"/>
            <wp:wrapSquare wrapText="bothSides" distT="0" distB="0" distL="114300" distR="114300"/>
            <wp:docPr id="547849766" name="image2.jpg" descr="Henlius Biotech | PharmEng Technology">
              <a:extLst xmlns:a="http://schemas.openxmlformats.org/drawingml/2006/main">
                <a:ext uri="{FF2B5EF4-FFF2-40B4-BE49-F238E27FC236}">
                  <a16:creationId xmlns:a16="http://schemas.microsoft.com/office/drawing/2014/main" id="{5076F3C8-E9F3-44FD-A463-4861D1462D14}"/>
                </a:ext>
              </a:extLst>
            </wp:docPr>
            <wp:cNvGraphicFramePr/>
            <a:graphic xmlns:a="http://schemas.openxmlformats.org/drawingml/2006/main">
              <a:graphicData uri="http://schemas.openxmlformats.org/drawingml/2006/picture">
                <pic:pic xmlns:pic="http://schemas.openxmlformats.org/drawingml/2006/picture">
                  <pic:nvPicPr>
                    <pic:cNvPr id="0" name="image2.jpg" descr="Henlius Biotech | PharmEng Technology"/>
                    <pic:cNvPicPr preferRelativeResize="0"/>
                  </pic:nvPicPr>
                  <pic:blipFill>
                    <a:blip r:embed="rId13"/>
                    <a:srcRect/>
                    <a:stretch>
                      <a:fillRect/>
                    </a:stretch>
                  </pic:blipFill>
                  <pic:spPr>
                    <a:xfrm>
                      <a:off x="0" y="0"/>
                      <a:ext cx="1390650" cy="356870"/>
                    </a:xfrm>
                    <a:prstGeom prst="rect">
                      <a:avLst/>
                    </a:prstGeom>
                    <a:ln/>
                  </pic:spPr>
                </pic:pic>
              </a:graphicData>
            </a:graphic>
            <wp14:sizeRelH relativeFrom="margin">
              <wp14:pctWidth>0</wp14:pctWidth>
            </wp14:sizeRelH>
            <wp14:sizeRelV relativeFrom="margin">
              <wp14:pctHeight>0</wp14:pctHeight>
            </wp14:sizeRelV>
          </wp:anchor>
        </w:drawing>
      </w:r>
      <w:bookmarkStart w:id="0" w:name="bookmark=id.1japf5x7jgx9" w:colFirst="0" w:colLast="0"/>
      <w:bookmarkEnd w:id="0"/>
      <w:r w:rsidR="004A499C">
        <w:rPr>
          <w:rFonts w:ascii="Montserrat" w:eastAsia="Arial" w:hAnsi="Montserrat" w:cs="Arial"/>
          <w:b/>
          <w:bCs/>
          <w:sz w:val="52"/>
          <w:szCs w:val="52"/>
        </w:rPr>
        <w:t>Communiqué</w:t>
      </w:r>
    </w:p>
    <w:p w14:paraId="00000004" w14:textId="77777777" w:rsidR="00AB2896" w:rsidRDefault="00607B50">
      <w:pPr>
        <w:tabs>
          <w:tab w:val="right" w:pos="9270"/>
          <w:tab w:val="left" w:pos="9360"/>
        </w:tabs>
        <w:ind w:right="-360"/>
        <w:rPr>
          <w:rFonts w:ascii="Arial" w:eastAsia="Arial" w:hAnsi="Arial" w:cs="Arial"/>
        </w:rPr>
      </w:pPr>
      <w:r>
        <w:rPr>
          <w:rFonts w:ascii="Arial" w:eastAsia="Arial" w:hAnsi="Arial" w:cs="Arial"/>
        </w:rPr>
        <w:t>___________________________________________________________________________</w:t>
      </w:r>
    </w:p>
    <w:p w14:paraId="00000005" w14:textId="77777777" w:rsidR="00AB2896" w:rsidRDefault="00AB2896">
      <w:pPr>
        <w:pBdr>
          <w:top w:val="nil"/>
          <w:left w:val="nil"/>
          <w:bottom w:val="nil"/>
          <w:right w:val="nil"/>
          <w:between w:val="nil"/>
        </w:pBdr>
        <w:rPr>
          <w:rFonts w:ascii="Arial" w:eastAsia="Arial" w:hAnsi="Arial" w:cs="Arial"/>
          <w:b/>
          <w:color w:val="000000"/>
          <w:sz w:val="22"/>
          <w:szCs w:val="22"/>
        </w:rPr>
      </w:pPr>
    </w:p>
    <w:tbl>
      <w:tblPr>
        <w:tblStyle w:val="Grilledutableau"/>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30"/>
        <w:gridCol w:w="3865"/>
        <w:gridCol w:w="3664"/>
      </w:tblGrid>
      <w:tr w:rsidR="00AB2896" w:rsidRPr="0013128F" w14:paraId="4098D6A4" w14:textId="77777777" w:rsidTr="004A499C">
        <w:trPr>
          <w:gridAfter w:val="1"/>
          <w:wAfter w:w="3664" w:type="dxa"/>
          <w:trHeight w:val="146"/>
        </w:trPr>
        <w:tc>
          <w:tcPr>
            <w:tcW w:w="2430" w:type="dxa"/>
          </w:tcPr>
          <w:p w14:paraId="313CE639" w14:textId="77777777" w:rsidR="00AB2896" w:rsidRDefault="00607B50">
            <w:pPr>
              <w:rPr>
                <w:rFonts w:ascii="Montserrat" w:eastAsia="Arial" w:hAnsi="Montserrat" w:cs="Arial"/>
                <w:b/>
                <w:sz w:val="22"/>
                <w:szCs w:val="22"/>
              </w:rPr>
            </w:pPr>
            <w:r>
              <w:rPr>
                <w:rFonts w:ascii="Montserrat" w:eastAsia="Arial" w:hAnsi="Montserrat" w:cs="Arial"/>
                <w:b/>
                <w:sz w:val="22"/>
                <w:szCs w:val="22"/>
              </w:rPr>
              <w:t>Relations médias d’Organon :</w:t>
            </w:r>
          </w:p>
          <w:p w14:paraId="00000008" w14:textId="3A971440" w:rsidR="004A499C" w:rsidRPr="0013128F" w:rsidRDefault="004A499C">
            <w:pPr>
              <w:rPr>
                <w:rFonts w:ascii="Montserrat" w:eastAsia="Arial" w:hAnsi="Montserrat" w:cs="Arial"/>
                <w:b/>
                <w:sz w:val="22"/>
                <w:szCs w:val="22"/>
              </w:rPr>
            </w:pPr>
          </w:p>
        </w:tc>
        <w:tc>
          <w:tcPr>
            <w:tcW w:w="3865" w:type="dxa"/>
          </w:tcPr>
          <w:p w14:paraId="00000009" w14:textId="3D891505" w:rsidR="00AB2896" w:rsidRPr="0013128F" w:rsidRDefault="00607B50">
            <w:pPr>
              <w:rPr>
                <w:rFonts w:ascii="Montserrat" w:eastAsia="Arial" w:hAnsi="Montserrat" w:cs="Arial"/>
                <w:sz w:val="22"/>
                <w:szCs w:val="22"/>
              </w:rPr>
            </w:pPr>
            <w:r>
              <w:rPr>
                <w:rFonts w:ascii="Montserrat" w:eastAsia="Arial" w:hAnsi="Montserrat" w:cs="Arial"/>
                <w:sz w:val="22"/>
                <w:szCs w:val="22"/>
              </w:rPr>
              <w:t>media_canada@organon.com</w:t>
            </w:r>
          </w:p>
        </w:tc>
      </w:tr>
      <w:tr w:rsidR="004A499C" w:rsidRPr="00613632" w14:paraId="3D07035F" w14:textId="6FC2F797" w:rsidTr="004A499C">
        <w:trPr>
          <w:trHeight w:val="288"/>
        </w:trPr>
        <w:tc>
          <w:tcPr>
            <w:tcW w:w="2430" w:type="dxa"/>
          </w:tcPr>
          <w:p w14:paraId="0000000B" w14:textId="3A529D67" w:rsidR="004A499C" w:rsidRPr="004A499C" w:rsidRDefault="004A499C" w:rsidP="004A499C">
            <w:pPr>
              <w:rPr>
                <w:rFonts w:ascii="Montserrat" w:eastAsia="Arial" w:hAnsi="Montserrat" w:cs="Arial"/>
                <w:b/>
                <w:sz w:val="22"/>
                <w:szCs w:val="22"/>
              </w:rPr>
            </w:pPr>
            <w:r>
              <w:rPr>
                <w:rFonts w:ascii="Montserrat" w:eastAsia="Times New Roman" w:hAnsi="Montserrat" w:cs="Arial"/>
                <w:b/>
                <w:bCs/>
                <w:color w:val="000000"/>
                <w:sz w:val="22"/>
                <w:szCs w:val="22"/>
              </w:rPr>
              <w:t>Relations médias de Henlius :</w:t>
            </w:r>
          </w:p>
        </w:tc>
        <w:tc>
          <w:tcPr>
            <w:tcW w:w="3865" w:type="dxa"/>
          </w:tcPr>
          <w:p w14:paraId="0000000D" w14:textId="0E6D3D81" w:rsidR="004A499C" w:rsidRPr="00575D93" w:rsidRDefault="004A499C" w:rsidP="004A499C">
            <w:pPr>
              <w:rPr>
                <w:rFonts w:ascii="Montserrat" w:eastAsia="Arial" w:hAnsi="Montserrat" w:cs="Arial"/>
                <w:sz w:val="22"/>
                <w:szCs w:val="22"/>
              </w:rPr>
            </w:pPr>
            <w:r>
              <w:rPr>
                <w:rFonts w:ascii="Montserrat" w:eastAsia="Times New Roman" w:hAnsi="Montserrat" w:cs="Arial"/>
                <w:color w:val="000000"/>
                <w:sz w:val="22"/>
                <w:szCs w:val="22"/>
              </w:rPr>
              <w:t xml:space="preserve">Janice Han </w:t>
            </w:r>
            <w:r>
              <w:rPr>
                <w:rFonts w:ascii="Montserrat" w:eastAsia="Times New Roman" w:hAnsi="Montserrat" w:cs="Arial"/>
                <w:color w:val="0000FF"/>
                <w:sz w:val="22"/>
                <w:szCs w:val="22"/>
              </w:rPr>
              <w:t>jiayi_han@henlius.com</w:t>
            </w:r>
          </w:p>
        </w:tc>
        <w:tc>
          <w:tcPr>
            <w:tcW w:w="3664" w:type="dxa"/>
          </w:tcPr>
          <w:p w14:paraId="25A15BFC" w14:textId="0FDD437A" w:rsidR="004A499C" w:rsidRPr="00575D93" w:rsidRDefault="004A499C" w:rsidP="004A499C">
            <w:pPr>
              <w:rPr>
                <w:rFonts w:ascii="Montserrat" w:hAnsi="Montserrat"/>
                <w:lang w:val="it-IT"/>
              </w:rPr>
            </w:pPr>
            <w:r>
              <w:rPr>
                <w:rFonts w:ascii="Montserrat" w:eastAsia="Times New Roman" w:hAnsi="Montserrat" w:cs="Arial"/>
                <w:sz w:val="22"/>
                <w:szCs w:val="22"/>
                <w:lang w:val="it-IT"/>
              </w:rPr>
              <w:t>Bella Zhou wenting_zhou@henlius.com</w:t>
            </w:r>
          </w:p>
        </w:tc>
      </w:tr>
      <w:tr w:rsidR="004A499C" w:rsidRPr="00613632" w14:paraId="51193332" w14:textId="77777777" w:rsidTr="004A499C">
        <w:trPr>
          <w:gridAfter w:val="1"/>
          <w:wAfter w:w="3664" w:type="dxa"/>
          <w:trHeight w:val="288"/>
        </w:trPr>
        <w:tc>
          <w:tcPr>
            <w:tcW w:w="2430" w:type="dxa"/>
          </w:tcPr>
          <w:p w14:paraId="0000000E" w14:textId="77777777" w:rsidR="004A499C" w:rsidRPr="0013128F" w:rsidRDefault="004A499C" w:rsidP="004A499C">
            <w:pPr>
              <w:rPr>
                <w:rFonts w:ascii="Montserrat" w:eastAsia="Arial" w:hAnsi="Montserrat" w:cs="Arial"/>
                <w:sz w:val="22"/>
                <w:szCs w:val="22"/>
                <w:lang w:val="it-IT"/>
              </w:rPr>
            </w:pPr>
          </w:p>
        </w:tc>
        <w:tc>
          <w:tcPr>
            <w:tcW w:w="3865" w:type="dxa"/>
          </w:tcPr>
          <w:p w14:paraId="00000010" w14:textId="3171FC59" w:rsidR="004A499C" w:rsidRPr="00575D93" w:rsidRDefault="004A499C" w:rsidP="004A499C">
            <w:pPr>
              <w:rPr>
                <w:rFonts w:ascii="Montserrat" w:eastAsia="Arial" w:hAnsi="Montserrat" w:cs="Arial"/>
                <w:sz w:val="22"/>
                <w:szCs w:val="22"/>
                <w:lang w:val="it-IT"/>
              </w:rPr>
            </w:pPr>
          </w:p>
        </w:tc>
      </w:tr>
    </w:tbl>
    <w:p w14:paraId="55FDE392" w14:textId="77777777" w:rsidR="00BD20B3" w:rsidRPr="00477C7F" w:rsidRDefault="00BD20B3">
      <w:pPr>
        <w:spacing w:line="360" w:lineRule="auto"/>
        <w:jc w:val="center"/>
        <w:rPr>
          <w:rFonts w:ascii="Montserrat" w:eastAsia="Arial" w:hAnsi="Montserrat" w:cs="Arial"/>
          <w:b/>
          <w:caps/>
          <w:sz w:val="22"/>
          <w:szCs w:val="22"/>
          <w:lang w:val="it-IT"/>
        </w:rPr>
      </w:pPr>
    </w:p>
    <w:p w14:paraId="00000012" w14:textId="0AB70840" w:rsidR="00AB2896" w:rsidRPr="00601813" w:rsidRDefault="00A32233" w:rsidP="0002464A">
      <w:pPr>
        <w:spacing w:line="360" w:lineRule="auto"/>
        <w:jc w:val="center"/>
        <w:rPr>
          <w:rFonts w:ascii="Montserrat" w:eastAsia="Arial" w:hAnsi="Montserrat" w:cs="Arial"/>
          <w:b/>
          <w:caps/>
          <w:sz w:val="22"/>
          <w:szCs w:val="22"/>
          <w:lang w:val="fr-CA"/>
        </w:rPr>
      </w:pPr>
      <w:r w:rsidRPr="00601813">
        <w:rPr>
          <w:rFonts w:ascii="Montserrat" w:eastAsia="Arial" w:hAnsi="Montserrat" w:cs="Arial"/>
          <w:b/>
          <w:caps/>
          <w:sz w:val="22"/>
          <w:szCs w:val="22"/>
          <w:lang w:val="fr-CA"/>
        </w:rPr>
        <w:t>Organon Canada et Henlius élargissent l’accès aux traitements à base de dénosumab avec le lancement de BILDYOS</w:t>
      </w:r>
      <w:r w:rsidRPr="00601813">
        <w:rPr>
          <w:rFonts w:ascii="Montserrat" w:eastAsia="Arial" w:hAnsi="Montserrat" w:cs="Arial"/>
          <w:b/>
          <w:caps/>
          <w:sz w:val="22"/>
          <w:szCs w:val="22"/>
          <w:vertAlign w:val="superscript"/>
          <w:lang w:val="fr-CA"/>
        </w:rPr>
        <w:t>®</w:t>
      </w:r>
      <w:r w:rsidRPr="00601813">
        <w:rPr>
          <w:rFonts w:ascii="Montserrat" w:eastAsia="Arial" w:hAnsi="Montserrat" w:cs="Arial"/>
          <w:b/>
          <w:caps/>
          <w:sz w:val="22"/>
          <w:szCs w:val="22"/>
          <w:lang w:val="fr-CA"/>
        </w:rPr>
        <w:t xml:space="preserve"> (injection de dénosumab) et de TUZEMTY</w:t>
      </w:r>
      <w:r w:rsidRPr="00601813">
        <w:rPr>
          <w:rFonts w:ascii="Montserrat" w:eastAsia="Arial" w:hAnsi="Montserrat" w:cs="Arial"/>
          <w:b/>
          <w:caps/>
          <w:sz w:val="22"/>
          <w:szCs w:val="22"/>
          <w:vertAlign w:val="superscript"/>
          <w:lang w:val="fr-CA"/>
        </w:rPr>
        <w:t xml:space="preserve">® </w:t>
      </w:r>
      <w:r w:rsidRPr="00601813">
        <w:rPr>
          <w:rFonts w:ascii="Montserrat" w:eastAsia="Arial" w:hAnsi="Montserrat" w:cs="Arial"/>
          <w:b/>
          <w:caps/>
          <w:sz w:val="22"/>
          <w:szCs w:val="22"/>
          <w:lang w:val="fr-CA"/>
        </w:rPr>
        <w:t xml:space="preserve">(injection de dénosumab), des biosimilaires de PROLIA et de XGEVA </w:t>
      </w:r>
    </w:p>
    <w:p w14:paraId="3B98E566" w14:textId="17AC6499" w:rsidR="0013128F" w:rsidRPr="00601813" w:rsidRDefault="00EF45ED">
      <w:pPr>
        <w:spacing w:line="360" w:lineRule="auto"/>
        <w:jc w:val="center"/>
        <w:rPr>
          <w:rFonts w:ascii="Montserrat" w:eastAsia="Arial" w:hAnsi="Montserrat" w:cs="Arial"/>
          <w:b/>
          <w:caps/>
          <w:sz w:val="22"/>
          <w:szCs w:val="22"/>
          <w:lang w:val="fr-CA"/>
        </w:rPr>
      </w:pPr>
      <w:r w:rsidRPr="00EF45ED">
        <w:rPr>
          <w:rFonts w:ascii="Montserrat" w:eastAsia="Arial" w:hAnsi="Montserrat" w:cs="Arial"/>
          <w:bCs/>
          <w:i/>
          <w:iCs/>
          <w:sz w:val="22"/>
          <w:szCs w:val="22"/>
          <w:lang w:val="fr-CA"/>
        </w:rPr>
        <w:t xml:space="preserve">Ce lancement porte le portefeuille de biosimilaires d’Organon au Canada à </w:t>
      </w:r>
      <w:r w:rsidR="00F54C1C">
        <w:rPr>
          <w:rFonts w:ascii="Montserrat" w:eastAsia="Arial" w:hAnsi="Montserrat" w:cs="Arial"/>
          <w:bCs/>
          <w:i/>
          <w:iCs/>
          <w:sz w:val="22"/>
          <w:szCs w:val="22"/>
          <w:lang w:val="fr-CA"/>
        </w:rPr>
        <w:t>huit</w:t>
      </w:r>
      <w:r w:rsidRPr="00EF45ED">
        <w:rPr>
          <w:rFonts w:ascii="Montserrat" w:eastAsia="Arial" w:hAnsi="Montserrat" w:cs="Arial"/>
          <w:bCs/>
          <w:i/>
          <w:iCs/>
          <w:sz w:val="22"/>
          <w:szCs w:val="22"/>
          <w:lang w:val="fr-CA"/>
        </w:rPr>
        <w:t xml:space="preserve"> produits répartis dans cinq </w:t>
      </w:r>
      <w:r w:rsidR="00F54C1C">
        <w:rPr>
          <w:rFonts w:ascii="Montserrat" w:eastAsia="Arial" w:hAnsi="Montserrat" w:cs="Arial"/>
          <w:bCs/>
          <w:i/>
          <w:iCs/>
          <w:sz w:val="22"/>
          <w:szCs w:val="22"/>
          <w:lang w:val="fr-CA"/>
        </w:rPr>
        <w:t>champs</w:t>
      </w:r>
      <w:r w:rsidRPr="00EF45ED">
        <w:rPr>
          <w:rFonts w:ascii="Montserrat" w:eastAsia="Arial" w:hAnsi="Montserrat" w:cs="Arial"/>
          <w:bCs/>
          <w:i/>
          <w:iCs/>
          <w:sz w:val="22"/>
          <w:szCs w:val="22"/>
          <w:lang w:val="fr-CA"/>
        </w:rPr>
        <w:t xml:space="preserve"> thérapeutiques.</w:t>
      </w:r>
    </w:p>
    <w:p w14:paraId="00000013" w14:textId="77777777" w:rsidR="00AB2896" w:rsidRPr="00601813" w:rsidRDefault="00AB2896">
      <w:pPr>
        <w:spacing w:line="288" w:lineRule="auto"/>
        <w:rPr>
          <w:rFonts w:ascii="Montserrat" w:eastAsia="Arial" w:hAnsi="Montserrat" w:cs="Arial"/>
          <w:i/>
          <w:color w:val="000000"/>
          <w:sz w:val="20"/>
          <w:szCs w:val="20"/>
          <w:lang w:val="fr-CA"/>
        </w:rPr>
      </w:pPr>
    </w:p>
    <w:p w14:paraId="65CE8367" w14:textId="1FB00FF2" w:rsidR="000575A7" w:rsidRPr="00601813" w:rsidRDefault="00607B50" w:rsidP="000575A7">
      <w:pPr>
        <w:spacing w:line="360" w:lineRule="auto"/>
        <w:rPr>
          <w:rFonts w:ascii="Montserrat" w:eastAsia="Arial" w:hAnsi="Montserrat" w:cs="Arial"/>
          <w:sz w:val="20"/>
          <w:szCs w:val="20"/>
          <w:lang w:val="fr-CA"/>
        </w:rPr>
      </w:pPr>
      <w:r w:rsidRPr="00601813">
        <w:rPr>
          <w:rFonts w:ascii="Montserrat" w:eastAsia="Arial" w:hAnsi="Montserrat" w:cs="Arial"/>
          <w:b/>
          <w:bCs/>
          <w:color w:val="000000" w:themeColor="text1"/>
          <w:sz w:val="20"/>
          <w:szCs w:val="20"/>
          <w:lang w:val="fr-CA"/>
        </w:rPr>
        <w:t xml:space="preserve">KIRKLAND, QC, Canada et SHANGHAI, Chine  </w:t>
      </w:r>
      <w:r w:rsidRPr="00601813">
        <w:rPr>
          <w:rFonts w:ascii="Montserrat" w:eastAsia="Arial" w:hAnsi="Montserrat" w:cs="Arial"/>
          <w:b/>
          <w:bCs/>
          <w:sz w:val="20"/>
          <w:szCs w:val="20"/>
          <w:lang w:val="fr-CA"/>
        </w:rPr>
        <w:t xml:space="preserve">– Le </w:t>
      </w:r>
      <w:r w:rsidR="00F54C1C">
        <w:rPr>
          <w:rFonts w:ascii="Montserrat" w:hAnsi="Montserrat" w:cs="Arial"/>
          <w:b/>
          <w:bCs/>
          <w:sz w:val="20"/>
          <w:szCs w:val="20"/>
          <w:lang w:val="fr-CA" w:eastAsia="zh-CN"/>
        </w:rPr>
        <w:t xml:space="preserve">23 </w:t>
      </w:r>
      <w:r w:rsidRPr="00601813">
        <w:rPr>
          <w:rFonts w:ascii="Montserrat" w:hAnsi="Montserrat" w:cs="Arial"/>
          <w:b/>
          <w:bCs/>
          <w:sz w:val="20"/>
          <w:szCs w:val="20"/>
          <w:lang w:val="fr-CA" w:eastAsia="zh-CN"/>
        </w:rPr>
        <w:t xml:space="preserve">juin </w:t>
      </w:r>
      <w:r w:rsidRPr="00601813">
        <w:rPr>
          <w:rFonts w:ascii="Montserrat" w:eastAsia="Arial" w:hAnsi="Montserrat" w:cs="Arial"/>
          <w:b/>
          <w:bCs/>
          <w:sz w:val="20"/>
          <w:szCs w:val="20"/>
          <w:lang w:val="fr-CA"/>
        </w:rPr>
        <w:t>202</w:t>
      </w:r>
      <w:r w:rsidRPr="00601813">
        <w:rPr>
          <w:rFonts w:ascii="Montserrat" w:hAnsi="Montserrat" w:cs="Arial"/>
          <w:b/>
          <w:bCs/>
          <w:sz w:val="20"/>
          <w:szCs w:val="20"/>
          <w:lang w:val="fr-CA" w:eastAsia="zh-CN"/>
        </w:rPr>
        <w:t>6</w:t>
      </w:r>
      <w:r w:rsidRPr="00601813">
        <w:rPr>
          <w:rFonts w:ascii="Montserrat" w:eastAsia="Arial" w:hAnsi="Montserrat" w:cs="Arial"/>
          <w:b/>
          <w:bCs/>
          <w:sz w:val="20"/>
          <w:szCs w:val="20"/>
          <w:lang w:val="fr-CA"/>
        </w:rPr>
        <w:t xml:space="preserve"> – </w:t>
      </w:r>
      <w:r w:rsidRPr="00601813">
        <w:rPr>
          <w:rFonts w:ascii="Montserrat" w:eastAsia="Arial" w:hAnsi="Montserrat" w:cs="Arial"/>
          <w:sz w:val="20"/>
          <w:szCs w:val="20"/>
          <w:lang w:val="fr-CA"/>
        </w:rPr>
        <w:t>Organon Canada et Shanghai Henlius Biotech, Inc. (2696.HK) ont annoncé aujourd’hui que BILDYOS</w:t>
      </w:r>
      <w:r w:rsidRPr="00601813">
        <w:rPr>
          <w:rFonts w:ascii="Montserrat" w:eastAsia="Arial" w:hAnsi="Montserrat" w:cs="Arial"/>
          <w:sz w:val="20"/>
          <w:szCs w:val="20"/>
          <w:vertAlign w:val="superscript"/>
          <w:lang w:val="fr-CA"/>
        </w:rPr>
        <w:t>®</w:t>
      </w:r>
      <w:r w:rsidRPr="00601813">
        <w:rPr>
          <w:rFonts w:ascii="Montserrat" w:eastAsia="Arial" w:hAnsi="Montserrat" w:cs="Arial"/>
          <w:sz w:val="20"/>
          <w:szCs w:val="20"/>
          <w:lang w:val="fr-CA"/>
        </w:rPr>
        <w:t xml:space="preserve"> (injection de dénosumab) 60 mg/1 mL et </w:t>
      </w:r>
      <w:bookmarkStart w:id="1" w:name="_Hlk222995886"/>
      <w:r w:rsidRPr="00601813">
        <w:rPr>
          <w:rFonts w:ascii="Montserrat" w:eastAsia="Arial" w:hAnsi="Montserrat" w:cs="Arial"/>
          <w:sz w:val="20"/>
          <w:szCs w:val="20"/>
          <w:lang w:val="fr-CA"/>
        </w:rPr>
        <w:t>TUZEMTY</w:t>
      </w:r>
      <w:r w:rsidRPr="00601813">
        <w:rPr>
          <w:rFonts w:ascii="Montserrat" w:eastAsia="Arial" w:hAnsi="Montserrat" w:cs="Arial"/>
          <w:sz w:val="20"/>
          <w:szCs w:val="20"/>
          <w:vertAlign w:val="superscript"/>
          <w:lang w:val="fr-CA"/>
        </w:rPr>
        <w:t>®</w:t>
      </w:r>
      <w:bookmarkEnd w:id="1"/>
      <w:r w:rsidRPr="00601813">
        <w:rPr>
          <w:rFonts w:ascii="Montserrat" w:eastAsia="Arial" w:hAnsi="Montserrat" w:cs="Arial"/>
          <w:sz w:val="20"/>
          <w:szCs w:val="20"/>
          <w:lang w:val="fr-CA"/>
        </w:rPr>
        <w:t xml:space="preserve"> (injection de dénosumab) 120 mg/1,7 mL,</w:t>
      </w:r>
      <w:r w:rsidRPr="00601813">
        <w:rPr>
          <w:rFonts w:ascii="Montserrat" w:eastAsia="Arial" w:hAnsi="Montserrat" w:cs="Arial"/>
          <w:i/>
          <w:iCs/>
          <w:sz w:val="20"/>
          <w:szCs w:val="20"/>
          <w:lang w:val="fr-CA"/>
        </w:rPr>
        <w:t xml:space="preserve"> </w:t>
      </w:r>
      <w:r w:rsidRPr="00601813">
        <w:rPr>
          <w:rFonts w:ascii="Montserrat" w:eastAsia="Arial" w:hAnsi="Montserrat" w:cs="Arial"/>
          <w:sz w:val="20"/>
          <w:szCs w:val="20"/>
          <w:lang w:val="fr-CA"/>
        </w:rPr>
        <w:t xml:space="preserve">des biosimilaires de PROLIA et de XGEVA, respectivement, sont maintenant </w:t>
      </w:r>
      <w:r w:rsidR="009F2E28">
        <w:rPr>
          <w:rFonts w:ascii="Montserrat" w:eastAsia="Arial" w:hAnsi="Montserrat" w:cs="Arial"/>
          <w:sz w:val="20"/>
          <w:szCs w:val="20"/>
          <w:lang w:val="fr-CA"/>
        </w:rPr>
        <w:t>disponible</w:t>
      </w:r>
      <w:r w:rsidRPr="00601813">
        <w:rPr>
          <w:rFonts w:ascii="Montserrat" w:eastAsia="Arial" w:hAnsi="Montserrat" w:cs="Arial"/>
          <w:sz w:val="20"/>
          <w:szCs w:val="20"/>
          <w:lang w:val="fr-CA"/>
        </w:rPr>
        <w:t>s au Canada pour toutes les indications des produits de référence.</w:t>
      </w:r>
      <w:r w:rsidR="00FA54FC">
        <w:rPr>
          <w:rFonts w:ascii="Montserrat" w:eastAsia="Arial" w:hAnsi="Montserrat" w:cs="Arial"/>
          <w:sz w:val="20"/>
          <w:szCs w:val="20"/>
          <w:lang w:val="fr-CA"/>
        </w:rPr>
        <w:t xml:space="preserve"> </w:t>
      </w:r>
      <w:r w:rsidR="00FA54FC" w:rsidRPr="00FA54FC">
        <w:rPr>
          <w:rFonts w:ascii="Montserrat" w:eastAsia="Arial" w:hAnsi="Montserrat" w:cs="Arial"/>
          <w:sz w:val="20"/>
          <w:szCs w:val="20"/>
          <w:lang w:val="fr-CA"/>
        </w:rPr>
        <w:t>Utilisés dans plusieurs indications, les produits à base de dénosumab sont indiqués dans le traitement de l’ostéoporose et des événements osseux associés au cancer, en aidant à renforcer les os.</w:t>
      </w:r>
    </w:p>
    <w:p w14:paraId="4B0EF7CF" w14:textId="44F97729" w:rsidR="0086716B" w:rsidRPr="00F54C1C" w:rsidRDefault="0086716B" w:rsidP="00F54C1C">
      <w:pPr>
        <w:spacing w:line="360" w:lineRule="auto"/>
        <w:rPr>
          <w:rFonts w:ascii="Montserrat" w:eastAsia="Arial" w:hAnsi="Montserrat" w:cs="Arial"/>
          <w:sz w:val="20"/>
          <w:szCs w:val="20"/>
          <w:lang w:val="fr-CA"/>
        </w:rPr>
      </w:pPr>
    </w:p>
    <w:p w14:paraId="738CBEA9" w14:textId="1E333F30" w:rsidR="00D77AB6" w:rsidRPr="00F54C1C" w:rsidRDefault="00607B50" w:rsidP="00D77AB6">
      <w:pPr>
        <w:spacing w:line="360" w:lineRule="auto"/>
        <w:rPr>
          <w:rFonts w:ascii="Montserrat" w:eastAsia="Arial" w:hAnsi="Montserrat" w:cs="Arial"/>
          <w:sz w:val="20"/>
          <w:szCs w:val="20"/>
          <w:lang w:val="fr-CA"/>
        </w:rPr>
      </w:pPr>
      <w:r w:rsidRPr="00601813">
        <w:rPr>
          <w:rFonts w:ascii="Montserrat" w:eastAsia="Arial" w:hAnsi="Montserrat" w:cs="Arial"/>
          <w:sz w:val="20"/>
          <w:szCs w:val="20"/>
          <w:lang w:val="fr-CA"/>
        </w:rPr>
        <w:t xml:space="preserve">« Les approbations constituent une étape importante pour aider à élargir l’accès aux traitements des affections osseuses au Canada. </w:t>
      </w:r>
      <w:r w:rsidR="000138D5" w:rsidRPr="00034E8D">
        <w:rPr>
          <w:rFonts w:ascii="Montserrat" w:eastAsia="Arial" w:hAnsi="Montserrat" w:cs="Arial"/>
          <w:sz w:val="20"/>
          <w:szCs w:val="20"/>
          <w:lang w:val="fr-CA"/>
        </w:rPr>
        <w:t xml:space="preserve">Ces biosimilaires offriront des options thérapeutiques supplémentaires dans plusieurs </w:t>
      </w:r>
      <w:r w:rsidR="00F54C1C" w:rsidRPr="00034E8D">
        <w:rPr>
          <w:rFonts w:ascii="Montserrat" w:eastAsia="Arial" w:hAnsi="Montserrat" w:cs="Arial"/>
          <w:sz w:val="20"/>
          <w:szCs w:val="20"/>
          <w:lang w:val="fr-CA"/>
        </w:rPr>
        <w:t>champs</w:t>
      </w:r>
      <w:r w:rsidR="000138D5" w:rsidRPr="00034E8D">
        <w:rPr>
          <w:rFonts w:ascii="Montserrat" w:eastAsia="Arial" w:hAnsi="Montserrat" w:cs="Arial"/>
          <w:sz w:val="20"/>
          <w:szCs w:val="20"/>
          <w:lang w:val="fr-CA"/>
        </w:rPr>
        <w:t xml:space="preserve"> thérapeutiques, dont l’ostéoporose, qui touche principalement les femmes et affecte 2,3 millions de personnes au Canada</w:t>
      </w:r>
      <w:r w:rsidRPr="00034E8D">
        <w:rPr>
          <w:rFonts w:ascii="Montserrat" w:eastAsia="Arial" w:hAnsi="Montserrat" w:cs="Arial"/>
          <w:sz w:val="20"/>
          <w:szCs w:val="20"/>
          <w:lang w:val="fr-CA"/>
        </w:rPr>
        <w:t>, »</w:t>
      </w:r>
      <w:r w:rsidR="008D7C8E">
        <w:rPr>
          <w:rFonts w:ascii="Montserrat" w:eastAsia="Arial" w:hAnsi="Montserrat" w:cs="Arial"/>
          <w:sz w:val="20"/>
          <w:szCs w:val="20"/>
          <w:vertAlign w:val="superscript"/>
          <w:lang w:val="fr-CA"/>
        </w:rPr>
        <w:t>1</w:t>
      </w:r>
      <w:r w:rsidRPr="008D7C8E">
        <w:rPr>
          <w:rFonts w:ascii="Montserrat" w:eastAsia="Arial" w:hAnsi="Montserrat" w:cs="Arial"/>
          <w:sz w:val="20"/>
          <w:szCs w:val="20"/>
          <w:lang w:val="fr-CA"/>
        </w:rPr>
        <w:t xml:space="preserve"> </w:t>
      </w:r>
      <w:r w:rsidRPr="00034E8D">
        <w:rPr>
          <w:rFonts w:ascii="Montserrat" w:eastAsia="Arial" w:hAnsi="Montserrat" w:cs="Arial"/>
          <w:sz w:val="20"/>
          <w:szCs w:val="20"/>
          <w:lang w:val="fr-CA"/>
        </w:rPr>
        <w:t xml:space="preserve">a déclaré Dominic Bégin, </w:t>
      </w:r>
      <w:r w:rsidR="00601813" w:rsidRPr="00034E8D">
        <w:rPr>
          <w:rFonts w:ascii="Montserrat" w:eastAsia="Arial" w:hAnsi="Montserrat" w:cs="Arial"/>
          <w:sz w:val="20"/>
          <w:szCs w:val="20"/>
          <w:lang w:val="fr-CA"/>
        </w:rPr>
        <w:t>président-</w:t>
      </w:r>
      <w:r w:rsidRPr="00034E8D">
        <w:rPr>
          <w:rFonts w:ascii="Montserrat" w:eastAsia="Arial" w:hAnsi="Montserrat" w:cs="Arial"/>
          <w:sz w:val="20"/>
          <w:szCs w:val="20"/>
          <w:lang w:val="fr-CA"/>
        </w:rPr>
        <w:t>directeur général d’Organon Canada.</w:t>
      </w:r>
      <w:r w:rsidR="005D386B" w:rsidRPr="00034E8D">
        <w:rPr>
          <w:rFonts w:ascii="Montserrat" w:eastAsia="Arial" w:hAnsi="Montserrat" w:cs="Arial"/>
          <w:sz w:val="20"/>
          <w:szCs w:val="20"/>
          <w:lang w:val="fr-CA"/>
        </w:rPr>
        <w:t xml:space="preserve"> </w:t>
      </w:r>
      <w:r w:rsidR="008D7C8E">
        <w:rPr>
          <w:rFonts w:ascii="Montserrat" w:eastAsia="Arial" w:hAnsi="Montserrat" w:cs="Arial"/>
          <w:sz w:val="20"/>
          <w:szCs w:val="20"/>
          <w:lang w:val="fr-CA"/>
        </w:rPr>
        <w:t>« </w:t>
      </w:r>
      <w:r w:rsidR="005D386B" w:rsidRPr="00F54C1C">
        <w:rPr>
          <w:rFonts w:ascii="Montserrat" w:eastAsia="Arial" w:hAnsi="Montserrat" w:cs="Arial"/>
          <w:sz w:val="20"/>
          <w:szCs w:val="20"/>
          <w:lang w:val="fr-CA"/>
        </w:rPr>
        <w:t>Cette avancée renforce l’engagement d’Organon à élargir son portefeuille de biosimilaires, à améliorer l’accessibilité des traitements et à contribuer à renforcer le système de santé, tout en soutenant les patient</w:t>
      </w:r>
      <w:r w:rsidR="00F54C1C">
        <w:rPr>
          <w:rFonts w:ascii="Montserrat" w:eastAsia="Arial" w:hAnsi="Montserrat" w:cs="Arial"/>
          <w:sz w:val="20"/>
          <w:szCs w:val="20"/>
          <w:lang w:val="fr-CA"/>
        </w:rPr>
        <w:t>-e-</w:t>
      </w:r>
      <w:r w:rsidR="005D386B" w:rsidRPr="00F54C1C">
        <w:rPr>
          <w:rFonts w:ascii="Montserrat" w:eastAsia="Arial" w:hAnsi="Montserrat" w:cs="Arial"/>
          <w:sz w:val="20"/>
          <w:szCs w:val="20"/>
          <w:lang w:val="fr-CA"/>
        </w:rPr>
        <w:t>s qui en ont besoin</w:t>
      </w:r>
      <w:r w:rsidR="008D7C8E">
        <w:rPr>
          <w:rFonts w:ascii="Montserrat" w:eastAsia="Arial" w:hAnsi="Montserrat" w:cs="Arial"/>
          <w:sz w:val="20"/>
          <w:szCs w:val="20"/>
          <w:lang w:val="fr-CA"/>
        </w:rPr>
        <w:t>.</w:t>
      </w:r>
      <w:r w:rsidR="008D7C8E" w:rsidRPr="00034E8D">
        <w:rPr>
          <w:rFonts w:ascii="Montserrat" w:eastAsia="Arial" w:hAnsi="Montserrat" w:cs="Arial"/>
          <w:sz w:val="20"/>
          <w:szCs w:val="20"/>
          <w:lang w:val="fr-CA"/>
        </w:rPr>
        <w:t> »</w:t>
      </w:r>
    </w:p>
    <w:p w14:paraId="6E9FD7D2" w14:textId="77777777" w:rsidR="00A32233" w:rsidRPr="00601813" w:rsidRDefault="00A32233" w:rsidP="00A32233">
      <w:pPr>
        <w:spacing w:line="360" w:lineRule="auto"/>
        <w:rPr>
          <w:rFonts w:ascii="Montserrat" w:eastAsia="Arial" w:hAnsi="Montserrat" w:cs="Arial"/>
          <w:sz w:val="20"/>
          <w:szCs w:val="20"/>
          <w:lang w:val="fr-CA"/>
        </w:rPr>
      </w:pPr>
    </w:p>
    <w:p w14:paraId="067C6706" w14:textId="63519394" w:rsidR="00601813" w:rsidRPr="00601813" w:rsidRDefault="006015C8" w:rsidP="006F7CDF">
      <w:pPr>
        <w:spacing w:line="360" w:lineRule="auto"/>
        <w:rPr>
          <w:rFonts w:ascii="Montserrat" w:eastAsia="Arial" w:hAnsi="Montserrat" w:cs="Arial"/>
          <w:sz w:val="20"/>
          <w:szCs w:val="20"/>
          <w:lang w:val="fr-CA"/>
        </w:rPr>
      </w:pPr>
      <w:r w:rsidRPr="00601813">
        <w:rPr>
          <w:rFonts w:ascii="Montserrat" w:eastAsia="Arial" w:hAnsi="Montserrat" w:cs="Arial"/>
          <w:sz w:val="20"/>
          <w:szCs w:val="20"/>
          <w:lang w:val="fr-CA"/>
        </w:rPr>
        <w:t>Grâce à ce lancement, Organon réaffirme son engagement à offrir aux patient</w:t>
      </w:r>
      <w:r w:rsidR="00601813">
        <w:rPr>
          <w:rFonts w:ascii="Montserrat" w:eastAsia="Arial" w:hAnsi="Montserrat" w:cs="Arial"/>
          <w:sz w:val="20"/>
          <w:szCs w:val="20"/>
          <w:lang w:val="fr-CA"/>
        </w:rPr>
        <w:t>-e-</w:t>
      </w:r>
      <w:r w:rsidRPr="00601813">
        <w:rPr>
          <w:rFonts w:ascii="Montserrat" w:eastAsia="Arial" w:hAnsi="Montserrat" w:cs="Arial"/>
          <w:sz w:val="20"/>
          <w:szCs w:val="20"/>
          <w:lang w:val="fr-CA"/>
        </w:rPr>
        <w:t>s du Canada un plus grand nombre d’options thérapeutiques et à contribuer à réduire les coûts des soins de santé en élargissant l’accès aux biosimilaires.</w:t>
      </w:r>
      <w:r w:rsidR="00F54C1C">
        <w:rPr>
          <w:rFonts w:ascii="Montserrat" w:eastAsia="Arial" w:hAnsi="Montserrat" w:cs="Arial"/>
          <w:sz w:val="20"/>
          <w:szCs w:val="20"/>
          <w:lang w:val="fr-CA"/>
        </w:rPr>
        <w:t xml:space="preserve"> </w:t>
      </w:r>
      <w:r w:rsidR="00EB5F42" w:rsidRPr="00EB5F42">
        <w:rPr>
          <w:rFonts w:ascii="Montserrat" w:eastAsia="Arial" w:hAnsi="Montserrat" w:cs="Arial"/>
          <w:sz w:val="20"/>
          <w:szCs w:val="20"/>
          <w:lang w:val="fr-CA"/>
        </w:rPr>
        <w:t>BILDYOS</w:t>
      </w:r>
      <w:r w:rsidR="00EB5F42" w:rsidRPr="008D7C8E">
        <w:rPr>
          <w:rFonts w:ascii="Montserrat" w:eastAsia="Arial" w:hAnsi="Montserrat" w:cs="Arial"/>
          <w:sz w:val="20"/>
          <w:szCs w:val="20"/>
          <w:vertAlign w:val="superscript"/>
          <w:lang w:val="fr-CA"/>
        </w:rPr>
        <w:t>®</w:t>
      </w:r>
      <w:r w:rsidR="00EB5F42" w:rsidRPr="00EB5F42">
        <w:rPr>
          <w:rFonts w:ascii="Montserrat" w:eastAsia="Arial" w:hAnsi="Montserrat" w:cs="Arial"/>
          <w:sz w:val="20"/>
          <w:szCs w:val="20"/>
          <w:lang w:val="fr-CA"/>
        </w:rPr>
        <w:t xml:space="preserve"> (injection de dénosumab) et TUZEMTY</w:t>
      </w:r>
      <w:r w:rsidR="00EB5F42" w:rsidRPr="008D7C8E">
        <w:rPr>
          <w:rFonts w:ascii="Montserrat" w:eastAsia="Arial" w:hAnsi="Montserrat" w:cs="Arial"/>
          <w:sz w:val="20"/>
          <w:szCs w:val="20"/>
          <w:vertAlign w:val="superscript"/>
          <w:lang w:val="fr-CA"/>
        </w:rPr>
        <w:t>®</w:t>
      </w:r>
      <w:r w:rsidR="00EB5F42" w:rsidRPr="00EB5F42">
        <w:rPr>
          <w:rFonts w:ascii="Montserrat" w:eastAsia="Arial" w:hAnsi="Montserrat" w:cs="Arial"/>
          <w:sz w:val="20"/>
          <w:szCs w:val="20"/>
          <w:lang w:val="fr-CA"/>
        </w:rPr>
        <w:t xml:space="preserve"> (injection de dénosumab) s’ajoutent au portefeuille croissant de biosimilaires d’Organon au </w:t>
      </w:r>
      <w:r w:rsidR="00EB5F42" w:rsidRPr="00EB5F42">
        <w:rPr>
          <w:rFonts w:ascii="Montserrat" w:eastAsia="Arial" w:hAnsi="Montserrat" w:cs="Arial"/>
          <w:sz w:val="20"/>
          <w:szCs w:val="20"/>
          <w:lang w:val="fr-CA"/>
        </w:rPr>
        <w:lastRenderedPageBreak/>
        <w:t xml:space="preserve">Canada, qui couvre cinq </w:t>
      </w:r>
      <w:r w:rsidR="00F54C1C">
        <w:rPr>
          <w:rFonts w:ascii="Montserrat" w:eastAsia="Arial" w:hAnsi="Montserrat" w:cs="Arial"/>
          <w:sz w:val="20"/>
          <w:szCs w:val="20"/>
          <w:lang w:val="fr-CA"/>
        </w:rPr>
        <w:t>champ</w:t>
      </w:r>
      <w:r w:rsidR="00EB5F42" w:rsidRPr="00EB5F42">
        <w:rPr>
          <w:rFonts w:ascii="Montserrat" w:eastAsia="Arial" w:hAnsi="Montserrat" w:cs="Arial"/>
          <w:sz w:val="20"/>
          <w:szCs w:val="20"/>
          <w:lang w:val="fr-CA"/>
        </w:rPr>
        <w:t>s thérapeutiques, dont l’oncologie, et comprend des produits ayant plus de neuf ans d’expérience commerciale.</w:t>
      </w:r>
    </w:p>
    <w:p w14:paraId="2EBD225A" w14:textId="77777777" w:rsidR="00543499" w:rsidRPr="00034E8D" w:rsidRDefault="00543499" w:rsidP="006F7CDF">
      <w:pPr>
        <w:spacing w:line="360" w:lineRule="auto"/>
        <w:rPr>
          <w:rFonts w:ascii="Montserrat" w:eastAsia="Arial" w:hAnsi="Montserrat" w:cs="Arial"/>
          <w:sz w:val="20"/>
          <w:szCs w:val="20"/>
          <w:lang w:val="fr-CA"/>
        </w:rPr>
      </w:pPr>
    </w:p>
    <w:p w14:paraId="22D34787" w14:textId="2DBC9E80" w:rsidR="00543499" w:rsidRPr="00034E8D" w:rsidRDefault="00543499" w:rsidP="00543499">
      <w:pPr>
        <w:spacing w:line="360" w:lineRule="auto"/>
        <w:rPr>
          <w:rFonts w:ascii="Montserrat" w:hAnsi="Montserrat" w:cs="Arial"/>
          <w:sz w:val="20"/>
          <w:szCs w:val="20"/>
          <w:lang w:val="fr-CA" w:eastAsia="zh-CN"/>
        </w:rPr>
      </w:pPr>
      <w:r w:rsidRPr="00034E8D">
        <w:rPr>
          <w:rFonts w:ascii="Montserrat" w:hAnsi="Montserrat" w:cs="Arial"/>
          <w:sz w:val="20"/>
          <w:szCs w:val="20"/>
          <w:lang w:val="fr-CA" w:eastAsia="zh-CN"/>
        </w:rPr>
        <w:t xml:space="preserve">« L’arrivée de </w:t>
      </w:r>
      <w:r w:rsidRPr="00034E8D">
        <w:rPr>
          <w:rFonts w:ascii="Montserrat" w:eastAsia="Arial" w:hAnsi="Montserrat" w:cs="Arial"/>
          <w:sz w:val="20"/>
          <w:szCs w:val="20"/>
          <w:lang w:val="fr-CA"/>
        </w:rPr>
        <w:t>BILDYOS</w:t>
      </w:r>
      <w:r w:rsidRPr="00034E8D">
        <w:rPr>
          <w:rFonts w:ascii="Montserrat" w:eastAsia="Arial" w:hAnsi="Montserrat" w:cs="Arial"/>
          <w:sz w:val="20"/>
          <w:szCs w:val="20"/>
          <w:vertAlign w:val="superscript"/>
          <w:lang w:val="fr-CA"/>
        </w:rPr>
        <w:t>®</w:t>
      </w:r>
      <w:r w:rsidRPr="00034E8D">
        <w:rPr>
          <w:rFonts w:ascii="Montserrat" w:eastAsia="Arial" w:hAnsi="Montserrat" w:cs="Arial"/>
          <w:sz w:val="20"/>
          <w:szCs w:val="20"/>
          <w:lang w:val="fr-CA"/>
        </w:rPr>
        <w:t xml:space="preserve"> </w:t>
      </w:r>
      <w:r w:rsidRPr="00034E8D">
        <w:rPr>
          <w:rFonts w:ascii="Montserrat" w:hAnsi="Montserrat" w:cs="Calibri"/>
          <w:sz w:val="20"/>
          <w:szCs w:val="20"/>
          <w:lang w:val="fr-CA" w:eastAsia="zh-CN"/>
        </w:rPr>
        <w:t xml:space="preserve">et de </w:t>
      </w:r>
      <w:r w:rsidRPr="00034E8D">
        <w:rPr>
          <w:rFonts w:ascii="Montserrat" w:eastAsia="Arial" w:hAnsi="Montserrat" w:cs="Arial"/>
          <w:sz w:val="20"/>
          <w:szCs w:val="20"/>
          <w:lang w:val="fr-CA"/>
        </w:rPr>
        <w:t>TUZEMTY</w:t>
      </w:r>
      <w:r w:rsidRPr="00034E8D">
        <w:rPr>
          <w:rFonts w:ascii="Montserrat" w:eastAsia="Arial" w:hAnsi="Montserrat" w:cs="Arial"/>
          <w:sz w:val="20"/>
          <w:szCs w:val="20"/>
          <w:vertAlign w:val="superscript"/>
          <w:lang w:val="fr-CA"/>
        </w:rPr>
        <w:t>®</w:t>
      </w:r>
      <w:r w:rsidRPr="00034E8D">
        <w:rPr>
          <w:rFonts w:ascii="Montserrat" w:hAnsi="Montserrat" w:cs="Arial"/>
          <w:sz w:val="20"/>
          <w:szCs w:val="20"/>
          <w:lang w:val="fr-CA" w:eastAsia="zh-CN"/>
        </w:rPr>
        <w:t xml:space="preserve"> marque une étape importante de notre collaboration avec Organon, » a déclaré Darius Panaligan, chef des affaires commerciales, Marchés internationaux, chez Henlius.</w:t>
      </w:r>
      <w:r w:rsidR="00480DAB" w:rsidRPr="00034E8D">
        <w:rPr>
          <w:rFonts w:ascii="Montserrat" w:hAnsi="Montserrat" w:cs="Arial"/>
          <w:sz w:val="20"/>
          <w:szCs w:val="20"/>
          <w:lang w:val="fr-CA" w:eastAsia="zh-CN"/>
        </w:rPr>
        <w:t xml:space="preserve"> Ensemble, nous avons transformé notre vision commune en résultats concrets, contribuant ainsi à offrir de nouvelles options thérapeutiques aux</w:t>
      </w:r>
      <w:r w:rsidR="004E2B32" w:rsidRPr="00034E8D">
        <w:rPr>
          <w:rFonts w:ascii="Montserrat" w:hAnsi="Montserrat" w:cs="Arial"/>
          <w:sz w:val="20"/>
          <w:szCs w:val="20"/>
          <w:lang w:val="fr-CA" w:eastAsia="zh-CN"/>
        </w:rPr>
        <w:t xml:space="preserve"> patient-e-s du Canada </w:t>
      </w:r>
      <w:r w:rsidR="00480DAB" w:rsidRPr="00034E8D">
        <w:rPr>
          <w:rFonts w:ascii="Montserrat" w:hAnsi="Montserrat" w:cs="Arial"/>
          <w:sz w:val="20"/>
          <w:szCs w:val="20"/>
          <w:lang w:val="fr-CA" w:eastAsia="zh-CN"/>
        </w:rPr>
        <w:t>et à renforcer notre engagement commun envers un accès à long terme. »</w:t>
      </w:r>
      <w:r w:rsidRPr="00034E8D">
        <w:rPr>
          <w:rFonts w:ascii="Montserrat" w:hAnsi="Montserrat" w:cs="Arial"/>
          <w:sz w:val="20"/>
          <w:szCs w:val="20"/>
          <w:lang w:val="fr-CA" w:eastAsia="zh-CN"/>
        </w:rPr>
        <w:t xml:space="preserve"> </w:t>
      </w:r>
    </w:p>
    <w:p w14:paraId="2D6CB778" w14:textId="77777777" w:rsidR="00543499" w:rsidRPr="00601813" w:rsidRDefault="00543499" w:rsidP="00543499">
      <w:pPr>
        <w:spacing w:line="360" w:lineRule="auto"/>
        <w:rPr>
          <w:rFonts w:ascii="Montserrat" w:eastAsia="Arial" w:hAnsi="Montserrat" w:cs="Arial"/>
          <w:sz w:val="20"/>
          <w:szCs w:val="20"/>
          <w:lang w:val="fr-CA"/>
        </w:rPr>
      </w:pPr>
    </w:p>
    <w:p w14:paraId="5F31C51B" w14:textId="78726090" w:rsidR="00EB7C1A" w:rsidRDefault="00543499" w:rsidP="006F7CDF">
      <w:pPr>
        <w:spacing w:line="360" w:lineRule="auto"/>
        <w:rPr>
          <w:rFonts w:ascii="Montserrat" w:eastAsia="Arial" w:hAnsi="Montserrat" w:cs="Arial"/>
          <w:sz w:val="20"/>
          <w:szCs w:val="20"/>
          <w:lang w:val="fr-CA"/>
        </w:rPr>
      </w:pPr>
      <w:r w:rsidRPr="00601813">
        <w:rPr>
          <w:rFonts w:ascii="Montserrat" w:eastAsia="Arial" w:hAnsi="Montserrat" w:cs="Arial"/>
          <w:sz w:val="20"/>
          <w:szCs w:val="20"/>
          <w:lang w:val="fr-CA"/>
        </w:rPr>
        <w:t>Ces lancements témoignent de l’engagement de longue date d’Organon à élargir l’accès à des traitements économiques et à faire progresser la santé des femmes au moyen d’une approche centrée sur le</w:t>
      </w:r>
      <w:r w:rsidR="00601813">
        <w:rPr>
          <w:rFonts w:ascii="Montserrat" w:eastAsia="Arial" w:hAnsi="Montserrat" w:cs="Arial"/>
          <w:sz w:val="20"/>
          <w:szCs w:val="20"/>
          <w:lang w:val="fr-CA"/>
        </w:rPr>
        <w:t>s</w:t>
      </w:r>
      <w:r w:rsidRPr="00601813">
        <w:rPr>
          <w:rFonts w:ascii="Montserrat" w:eastAsia="Arial" w:hAnsi="Montserrat" w:cs="Arial"/>
          <w:sz w:val="20"/>
          <w:szCs w:val="20"/>
          <w:lang w:val="fr-CA"/>
        </w:rPr>
        <w:t xml:space="preserve"> patient</w:t>
      </w:r>
      <w:r w:rsidR="00601813">
        <w:rPr>
          <w:rFonts w:ascii="Montserrat" w:eastAsia="Arial" w:hAnsi="Montserrat" w:cs="Arial"/>
          <w:sz w:val="20"/>
          <w:szCs w:val="20"/>
          <w:lang w:val="fr-CA"/>
        </w:rPr>
        <w:t>-e-s</w:t>
      </w:r>
      <w:r w:rsidRPr="00601813">
        <w:rPr>
          <w:rFonts w:ascii="Montserrat" w:eastAsia="Arial" w:hAnsi="Montserrat" w:cs="Arial"/>
          <w:sz w:val="20"/>
          <w:szCs w:val="20"/>
          <w:lang w:val="fr-CA"/>
        </w:rPr>
        <w:t>.</w:t>
      </w:r>
    </w:p>
    <w:p w14:paraId="567A3BF7" w14:textId="77777777" w:rsidR="00601813" w:rsidRPr="00601813" w:rsidRDefault="00601813" w:rsidP="006F7CDF">
      <w:pPr>
        <w:spacing w:line="360" w:lineRule="auto"/>
        <w:rPr>
          <w:rFonts w:ascii="Montserrat" w:eastAsia="Arial" w:hAnsi="Montserrat" w:cs="Arial"/>
          <w:sz w:val="20"/>
          <w:szCs w:val="20"/>
          <w:lang w:val="fr-CA"/>
        </w:rPr>
      </w:pPr>
    </w:p>
    <w:p w14:paraId="5AD386AE" w14:textId="3A673402" w:rsidR="00EB7C1A" w:rsidRPr="00034E8D" w:rsidRDefault="00EB7C1A" w:rsidP="00EB7C1A">
      <w:pPr>
        <w:spacing w:line="360" w:lineRule="auto"/>
        <w:rPr>
          <w:rFonts w:ascii="Montserrat" w:hAnsi="Montserrat" w:cs="Arial"/>
          <w:sz w:val="20"/>
          <w:szCs w:val="20"/>
          <w:lang w:val="fr-CA" w:eastAsia="zh-CN"/>
        </w:rPr>
      </w:pPr>
      <w:r w:rsidRPr="00034E8D">
        <w:rPr>
          <w:rFonts w:ascii="Montserrat" w:hAnsi="Montserrat" w:cs="Arial"/>
          <w:sz w:val="20"/>
          <w:szCs w:val="20"/>
          <w:lang w:val="fr-CA" w:eastAsia="zh-CN"/>
        </w:rPr>
        <w:t>« L’ajout de nouveaux traitements à base de dénosumab approuvés contribue à renforcer la résilience du système de santé et aide les clinicien</w:t>
      </w:r>
      <w:r w:rsidR="00601813" w:rsidRPr="00034E8D">
        <w:rPr>
          <w:rFonts w:ascii="Montserrat" w:hAnsi="Montserrat" w:cs="Arial"/>
          <w:sz w:val="20"/>
          <w:szCs w:val="20"/>
          <w:lang w:val="fr-CA" w:eastAsia="zh-CN"/>
        </w:rPr>
        <w:t>-ne-</w:t>
      </w:r>
      <w:r w:rsidRPr="00034E8D">
        <w:rPr>
          <w:rFonts w:ascii="Montserrat" w:hAnsi="Montserrat" w:cs="Arial"/>
          <w:sz w:val="20"/>
          <w:szCs w:val="20"/>
          <w:lang w:val="fr-CA" w:eastAsia="zh-CN"/>
        </w:rPr>
        <w:t>s et les patient</w:t>
      </w:r>
      <w:r w:rsidR="00601813" w:rsidRPr="00034E8D">
        <w:rPr>
          <w:rFonts w:ascii="Montserrat" w:hAnsi="Montserrat" w:cs="Arial"/>
          <w:sz w:val="20"/>
          <w:szCs w:val="20"/>
          <w:lang w:val="fr-CA" w:eastAsia="zh-CN"/>
        </w:rPr>
        <w:t>-e-</w:t>
      </w:r>
      <w:r w:rsidRPr="00034E8D">
        <w:rPr>
          <w:rFonts w:ascii="Montserrat" w:hAnsi="Montserrat" w:cs="Arial"/>
          <w:sz w:val="20"/>
          <w:szCs w:val="20"/>
          <w:lang w:val="fr-CA" w:eastAsia="zh-CN"/>
        </w:rPr>
        <w:t>s</w:t>
      </w:r>
      <w:r w:rsidR="00FC4470" w:rsidRPr="00034E8D">
        <w:rPr>
          <w:rFonts w:ascii="Montserrat" w:hAnsi="Montserrat" w:cs="Arial"/>
          <w:sz w:val="20"/>
          <w:szCs w:val="20"/>
          <w:lang w:val="fr-CA" w:eastAsia="zh-CN"/>
        </w:rPr>
        <w:t xml:space="preserve"> </w:t>
      </w:r>
      <w:r w:rsidR="00034E8D">
        <w:rPr>
          <w:rFonts w:ascii="Montserrat" w:hAnsi="Montserrat" w:cs="Arial"/>
          <w:sz w:val="20"/>
          <w:szCs w:val="20"/>
          <w:lang w:val="fr-CA" w:eastAsia="zh-CN"/>
        </w:rPr>
        <w:t xml:space="preserve">à </w:t>
      </w:r>
      <w:r w:rsidR="00FC4470" w:rsidRPr="00034E8D">
        <w:rPr>
          <w:rFonts w:ascii="Montserrat" w:hAnsi="Montserrat" w:cs="Arial"/>
          <w:sz w:val="20"/>
          <w:szCs w:val="20"/>
          <w:lang w:val="fr-CA" w:eastAsia="zh-CN"/>
        </w:rPr>
        <w:t>parcourir avec plus de souplesse les options de traitement de l’ostéoporose</w:t>
      </w:r>
      <w:r w:rsidRPr="00034E8D">
        <w:rPr>
          <w:rFonts w:ascii="Montserrat" w:hAnsi="Montserrat" w:cs="Arial"/>
          <w:sz w:val="20"/>
          <w:szCs w:val="20"/>
          <w:lang w:val="fr-CA" w:eastAsia="zh-CN"/>
        </w:rPr>
        <w:t>, » a déclaré Dre Famida Jiwa, présidente</w:t>
      </w:r>
      <w:r w:rsidR="00601813" w:rsidRPr="00034E8D">
        <w:rPr>
          <w:rFonts w:ascii="Montserrat" w:hAnsi="Montserrat" w:cs="Arial"/>
          <w:sz w:val="20"/>
          <w:szCs w:val="20"/>
          <w:lang w:val="fr-CA" w:eastAsia="zh-CN"/>
        </w:rPr>
        <w:t xml:space="preserve"> et </w:t>
      </w:r>
      <w:r w:rsidRPr="00034E8D">
        <w:rPr>
          <w:rFonts w:ascii="Montserrat" w:hAnsi="Montserrat" w:cs="Arial"/>
          <w:sz w:val="20"/>
          <w:szCs w:val="20"/>
          <w:lang w:val="fr-CA" w:eastAsia="zh-CN"/>
        </w:rPr>
        <w:t>directrice générale d’Ostéoporose Canada.</w:t>
      </w:r>
    </w:p>
    <w:p w14:paraId="06990A82" w14:textId="77777777" w:rsidR="005F333A" w:rsidRPr="00BD20B3" w:rsidRDefault="005F333A">
      <w:pPr>
        <w:spacing w:line="360" w:lineRule="auto"/>
        <w:rPr>
          <w:rFonts w:ascii="Montserrat" w:hAnsi="Montserrat" w:cs="Arial"/>
          <w:sz w:val="20"/>
          <w:szCs w:val="20"/>
          <w:lang w:val="fr-CA" w:eastAsia="zh-CN"/>
        </w:rPr>
      </w:pPr>
    </w:p>
    <w:p w14:paraId="0000001E" w14:textId="5C0DA444" w:rsidR="00AB2896" w:rsidRPr="00BD20B3" w:rsidRDefault="00607B50">
      <w:pPr>
        <w:spacing w:line="360" w:lineRule="auto"/>
        <w:rPr>
          <w:rFonts w:ascii="Montserrat" w:eastAsia="Arial" w:hAnsi="Montserrat" w:cs="Arial"/>
          <w:sz w:val="20"/>
          <w:szCs w:val="20"/>
          <w:lang w:val="fr-CA"/>
        </w:rPr>
      </w:pPr>
      <w:r w:rsidRPr="00BD20B3">
        <w:rPr>
          <w:rFonts w:ascii="Montserrat" w:eastAsia="Arial" w:hAnsi="Montserrat" w:cs="Arial"/>
          <w:sz w:val="20"/>
          <w:szCs w:val="20"/>
          <w:lang w:val="fr-CA"/>
        </w:rPr>
        <w:t>En 2022, Henlius a conclu une entente de licence et d’approvisionnement avec Organon,</w:t>
      </w:r>
      <w:r w:rsidR="006A6810">
        <w:rPr>
          <w:rFonts w:ascii="Montserrat" w:eastAsia="Arial" w:hAnsi="Montserrat" w:cs="Arial"/>
          <w:sz w:val="20"/>
          <w:szCs w:val="20"/>
          <w:lang w:val="fr-CA"/>
        </w:rPr>
        <w:t xml:space="preserve"> en lui </w:t>
      </w:r>
      <w:r w:rsidR="006A6810" w:rsidRPr="006A6810">
        <w:rPr>
          <w:rFonts w:ascii="Montserrat" w:eastAsia="Arial" w:hAnsi="Montserrat" w:cs="Arial"/>
          <w:sz w:val="20"/>
          <w:szCs w:val="20"/>
          <w:lang w:val="fr-CA"/>
        </w:rPr>
        <w:t xml:space="preserve">accordant </w:t>
      </w:r>
      <w:r w:rsidRPr="00BD20B3">
        <w:rPr>
          <w:rFonts w:ascii="Montserrat" w:eastAsia="Arial" w:hAnsi="Montserrat" w:cs="Arial"/>
          <w:sz w:val="20"/>
          <w:szCs w:val="20"/>
          <w:lang w:val="fr-CA"/>
        </w:rPr>
        <w:t>les droits exclusifs de commercialisation de plusieurs biosimilaires, dont BILDYOS</w:t>
      </w:r>
      <w:r w:rsidRPr="00BD20B3">
        <w:rPr>
          <w:rFonts w:ascii="Montserrat" w:eastAsia="Arial" w:hAnsi="Montserrat" w:cs="Arial"/>
          <w:sz w:val="20"/>
          <w:szCs w:val="20"/>
          <w:vertAlign w:val="superscript"/>
          <w:lang w:val="fr-CA"/>
        </w:rPr>
        <w:t>®</w:t>
      </w:r>
      <w:r w:rsidRPr="00BD20B3">
        <w:rPr>
          <w:rFonts w:ascii="Montserrat" w:eastAsia="Arial" w:hAnsi="Montserrat" w:cs="Arial"/>
          <w:sz w:val="20"/>
          <w:szCs w:val="20"/>
          <w:lang w:val="fr-CA"/>
        </w:rPr>
        <w:t xml:space="preserve"> </w:t>
      </w:r>
      <w:r w:rsidRPr="00BD20B3">
        <w:rPr>
          <w:rFonts w:ascii="Montserrat" w:hAnsi="Montserrat" w:cs="Calibri"/>
          <w:sz w:val="20"/>
          <w:szCs w:val="20"/>
          <w:lang w:val="fr-CA"/>
        </w:rPr>
        <w:t xml:space="preserve">(injection de dénosumab) </w:t>
      </w:r>
      <w:r w:rsidRPr="00BD20B3">
        <w:rPr>
          <w:rFonts w:ascii="Montserrat" w:hAnsi="Montserrat" w:cs="Calibri"/>
          <w:sz w:val="20"/>
          <w:szCs w:val="20"/>
          <w:lang w:val="fr-CA" w:eastAsia="zh-CN"/>
        </w:rPr>
        <w:t xml:space="preserve">et </w:t>
      </w:r>
      <w:r w:rsidRPr="00BD20B3">
        <w:rPr>
          <w:rFonts w:ascii="Montserrat" w:eastAsia="Arial" w:hAnsi="Montserrat" w:cs="Arial"/>
          <w:sz w:val="20"/>
          <w:szCs w:val="20"/>
          <w:lang w:val="fr-CA"/>
        </w:rPr>
        <w:t>TUZEMTY</w:t>
      </w:r>
      <w:r w:rsidRPr="00BD20B3">
        <w:rPr>
          <w:rFonts w:ascii="Montserrat" w:eastAsia="Arial" w:hAnsi="Montserrat" w:cs="Arial"/>
          <w:sz w:val="20"/>
          <w:szCs w:val="20"/>
          <w:vertAlign w:val="superscript"/>
          <w:lang w:val="fr-CA"/>
        </w:rPr>
        <w:t>®</w:t>
      </w:r>
      <w:r w:rsidRPr="00BD20B3">
        <w:rPr>
          <w:rFonts w:ascii="Montserrat" w:eastAsia="Arial" w:hAnsi="Montserrat" w:cs="Arial"/>
          <w:sz w:val="20"/>
          <w:szCs w:val="20"/>
          <w:lang w:val="fr-CA"/>
        </w:rPr>
        <w:t xml:space="preserve"> (injection de dénosumab). L’entente vise les droits exclusifs de commercialisation à l’échelle mondiale, à l’exception de la Chine. </w:t>
      </w:r>
    </w:p>
    <w:p w14:paraId="227FB880" w14:textId="77777777" w:rsidR="00EB7C1A" w:rsidRPr="00BD20B3" w:rsidRDefault="00EB7C1A">
      <w:pPr>
        <w:spacing w:line="360" w:lineRule="auto"/>
        <w:rPr>
          <w:rFonts w:ascii="Montserrat" w:eastAsia="Arial" w:hAnsi="Montserrat" w:cs="Arial"/>
          <w:sz w:val="20"/>
          <w:szCs w:val="20"/>
          <w:lang w:val="fr-CA"/>
        </w:rPr>
      </w:pPr>
    </w:p>
    <w:p w14:paraId="469ABEE1" w14:textId="003D8A98" w:rsidR="005C34ED" w:rsidRPr="00BD20B3" w:rsidRDefault="005C34ED">
      <w:pPr>
        <w:spacing w:line="360" w:lineRule="auto"/>
        <w:rPr>
          <w:rFonts w:ascii="Montserrat" w:eastAsia="Arial" w:hAnsi="Montserrat" w:cs="Arial"/>
          <w:sz w:val="20"/>
          <w:szCs w:val="20"/>
          <w:lang w:val="fr-CA"/>
        </w:rPr>
      </w:pPr>
      <w:r w:rsidRPr="00BD20B3">
        <w:rPr>
          <w:rFonts w:ascii="Montserrat" w:eastAsia="Arial" w:hAnsi="Montserrat" w:cs="Arial"/>
          <w:sz w:val="20"/>
          <w:szCs w:val="20"/>
          <w:lang w:val="fr-CA"/>
        </w:rPr>
        <w:t>Pour en savoir plus sur ces produits, y compris</w:t>
      </w:r>
      <w:r w:rsidR="00CD68CE">
        <w:rPr>
          <w:rFonts w:ascii="Montserrat" w:eastAsia="Arial" w:hAnsi="Montserrat" w:cs="Arial"/>
          <w:sz w:val="20"/>
          <w:szCs w:val="20"/>
          <w:lang w:val="fr-CA"/>
        </w:rPr>
        <w:t xml:space="preserve"> </w:t>
      </w:r>
      <w:r w:rsidR="00CD68CE" w:rsidRPr="00CD68CE">
        <w:rPr>
          <w:rFonts w:ascii="Montserrat" w:eastAsia="Arial" w:hAnsi="Montserrat" w:cs="Arial"/>
          <w:sz w:val="20"/>
          <w:szCs w:val="20"/>
          <w:lang w:val="fr-CA"/>
        </w:rPr>
        <w:t>les renseignements importants sur l’innocuité</w:t>
      </w:r>
      <w:r w:rsidRPr="00BD20B3">
        <w:rPr>
          <w:rFonts w:ascii="Montserrat" w:eastAsia="Arial" w:hAnsi="Montserrat" w:cs="Arial"/>
          <w:sz w:val="20"/>
          <w:szCs w:val="20"/>
          <w:lang w:val="fr-CA"/>
        </w:rPr>
        <w:t xml:space="preserve">, consultez : </w:t>
      </w:r>
      <w:hyperlink r:id="rId14" w:history="1">
        <w:r w:rsidR="00601813" w:rsidRPr="00BD20B3">
          <w:rPr>
            <w:rStyle w:val="Lienhypertexte"/>
            <w:rFonts w:ascii="Montserrat" w:hAnsi="Montserrat"/>
            <w:sz w:val="20"/>
            <w:szCs w:val="20"/>
            <w:lang w:val="fr-CA"/>
          </w:rPr>
          <w:t>BILDYOS_PM-Fr.pdf</w:t>
        </w:r>
      </w:hyperlink>
      <w:r w:rsidRPr="00BD20B3">
        <w:rPr>
          <w:rFonts w:ascii="Montserrat" w:eastAsia="Arial" w:hAnsi="Montserrat" w:cs="Arial"/>
          <w:sz w:val="20"/>
          <w:szCs w:val="20"/>
          <w:lang w:val="fr-CA"/>
        </w:rPr>
        <w:t xml:space="preserve"> et </w:t>
      </w:r>
      <w:hyperlink r:id="rId15" w:history="1">
        <w:r w:rsidR="00BD20B3" w:rsidRPr="00BD20B3">
          <w:rPr>
            <w:rStyle w:val="Lienhypertexte"/>
            <w:rFonts w:ascii="Montserrat" w:eastAsia="Arial" w:hAnsi="Montserrat" w:cs="Arial"/>
            <w:sz w:val="20"/>
            <w:szCs w:val="20"/>
            <w:lang w:val="fr-CA"/>
          </w:rPr>
          <w:t>TUZEMTY_PM-Fr.pdf</w:t>
        </w:r>
      </w:hyperlink>
      <w:r w:rsidR="00BD20B3" w:rsidRPr="00BD20B3">
        <w:rPr>
          <w:rFonts w:ascii="Montserrat" w:eastAsia="Arial" w:hAnsi="Montserrat" w:cs="Arial"/>
          <w:sz w:val="20"/>
          <w:szCs w:val="20"/>
          <w:lang w:val="fr-CA"/>
        </w:rPr>
        <w:t>.</w:t>
      </w:r>
    </w:p>
    <w:p w14:paraId="00000023" w14:textId="1FE05410" w:rsidR="00AB2896" w:rsidRPr="00BD20B3" w:rsidRDefault="00AB2896">
      <w:pPr>
        <w:spacing w:line="360" w:lineRule="auto"/>
        <w:rPr>
          <w:rFonts w:ascii="Montserrat" w:eastAsia="Arial" w:hAnsi="Montserrat" w:cs="Arial"/>
          <w:sz w:val="20"/>
          <w:szCs w:val="20"/>
          <w:lang w:val="fr-CA"/>
        </w:rPr>
      </w:pPr>
    </w:p>
    <w:p w14:paraId="6B6CACA1" w14:textId="3185C9E3" w:rsidR="006015C8" w:rsidRPr="00BD20B3" w:rsidRDefault="006015C8" w:rsidP="006015C8">
      <w:pPr>
        <w:spacing w:line="360" w:lineRule="auto"/>
        <w:jc w:val="center"/>
        <w:rPr>
          <w:rFonts w:ascii="Montserrat" w:eastAsia="Arial" w:hAnsi="Montserrat" w:cs="Arial"/>
          <w:sz w:val="20"/>
          <w:szCs w:val="20"/>
          <w:lang w:val="fr-CA"/>
        </w:rPr>
      </w:pPr>
      <w:r w:rsidRPr="00BD20B3">
        <w:rPr>
          <w:rFonts w:ascii="Montserrat" w:eastAsia="Arial" w:hAnsi="Montserrat" w:cs="Arial"/>
          <w:sz w:val="20"/>
          <w:szCs w:val="20"/>
          <w:lang w:val="fr-CA"/>
        </w:rPr>
        <w:t>###</w:t>
      </w:r>
    </w:p>
    <w:p w14:paraId="0000002A" w14:textId="0DBE6030" w:rsidR="00AB2896" w:rsidRPr="00BD20B3" w:rsidRDefault="00607B50">
      <w:pPr>
        <w:spacing w:line="360" w:lineRule="auto"/>
        <w:rPr>
          <w:rFonts w:ascii="Montserrat" w:eastAsia="Arial" w:hAnsi="Montserrat" w:cs="Arial"/>
          <w:b/>
          <w:sz w:val="20"/>
          <w:szCs w:val="20"/>
          <w:u w:val="single"/>
          <w:lang w:val="fr-CA"/>
        </w:rPr>
      </w:pPr>
      <w:r w:rsidRPr="00BD20B3">
        <w:rPr>
          <w:rFonts w:ascii="Montserrat" w:eastAsia="Arial" w:hAnsi="Montserrat" w:cs="Arial"/>
          <w:b/>
          <w:sz w:val="20"/>
          <w:szCs w:val="20"/>
          <w:u w:val="single"/>
          <w:lang w:val="fr-CA"/>
        </w:rPr>
        <w:t>À propos d’Organon</w:t>
      </w:r>
    </w:p>
    <w:p w14:paraId="654D7E04" w14:textId="791FF1CA" w:rsidR="005F333A" w:rsidRPr="00BD20B3" w:rsidRDefault="00861634">
      <w:pPr>
        <w:spacing w:line="360" w:lineRule="auto"/>
        <w:rPr>
          <w:rFonts w:ascii="Montserrat" w:eastAsia="Arial" w:hAnsi="Montserrat" w:cs="Arial"/>
          <w:bCs/>
          <w:sz w:val="20"/>
          <w:szCs w:val="20"/>
          <w:lang w:val="fr-CA"/>
        </w:rPr>
      </w:pPr>
      <w:r w:rsidRPr="00BD20B3">
        <w:rPr>
          <w:rFonts w:ascii="Montserrat" w:eastAsia="Arial" w:hAnsi="Montserrat" w:cs="Arial"/>
          <w:bCs/>
          <w:sz w:val="20"/>
          <w:szCs w:val="20"/>
          <w:lang w:val="fr-CA"/>
        </w:rPr>
        <w:t xml:space="preserve">Organon (NYSE : OGN) est une société de soins de santé d’envergure mondiale dont la mission est d’offrir des médicaments et des solutions à fort impact pour un quotidien en meilleure santé. Forte d’un portefeuille de plus de 70 produits répartis entre la santé des femmes, les biosimilaires et les médicaments généraux, Organon s’attache à répondre aux besoins de santé qui touchent les femmes de façon unique, disproportionnée ou différente, tout en élargissant l’accès à des traitements essentiels dans plus de 140 marchés. Pour en savoir plus, consultez </w:t>
      </w:r>
      <w:hyperlink r:id="rId16" w:history="1">
        <w:r w:rsidR="008D7C8E" w:rsidRPr="00D26E77">
          <w:rPr>
            <w:rStyle w:val="Lienhypertexte"/>
            <w:rFonts w:ascii="Montserrat" w:eastAsia="Arial" w:hAnsi="Montserrat" w:cs="Arial"/>
            <w:bCs/>
            <w:sz w:val="20"/>
            <w:szCs w:val="20"/>
            <w:lang w:val="fr-CA"/>
          </w:rPr>
          <w:t>www.organon.ca</w:t>
        </w:r>
      </w:hyperlink>
      <w:r w:rsidR="008D7C8E">
        <w:rPr>
          <w:rFonts w:ascii="Montserrat" w:eastAsia="Arial" w:hAnsi="Montserrat" w:cs="Arial"/>
          <w:bCs/>
          <w:sz w:val="20"/>
          <w:szCs w:val="20"/>
          <w:lang w:val="fr-CA"/>
        </w:rPr>
        <w:t xml:space="preserve"> </w:t>
      </w:r>
      <w:r w:rsidRPr="00BD20B3">
        <w:rPr>
          <w:rFonts w:ascii="Montserrat" w:eastAsia="Arial" w:hAnsi="Montserrat" w:cs="Arial"/>
          <w:bCs/>
          <w:sz w:val="20"/>
          <w:szCs w:val="20"/>
          <w:lang w:val="fr-CA"/>
        </w:rPr>
        <w:t xml:space="preserve">et suivez-nous sur </w:t>
      </w:r>
      <w:hyperlink r:id="rId17" w:history="1">
        <w:r w:rsidRPr="00BD20B3">
          <w:rPr>
            <w:rStyle w:val="Lienhypertexte"/>
            <w:rFonts w:ascii="Montserrat" w:eastAsia="Arial" w:hAnsi="Montserrat" w:cs="Arial"/>
            <w:bCs/>
            <w:sz w:val="20"/>
            <w:szCs w:val="20"/>
            <w:u w:val="none"/>
            <w:lang w:val="fr-CA"/>
          </w:rPr>
          <w:t>LinkedIn</w:t>
        </w:r>
      </w:hyperlink>
      <w:r w:rsidRPr="00BD20B3">
        <w:rPr>
          <w:rFonts w:ascii="Montserrat" w:eastAsia="Arial" w:hAnsi="Montserrat" w:cs="Arial"/>
          <w:bCs/>
          <w:sz w:val="20"/>
          <w:szCs w:val="20"/>
          <w:lang w:val="fr-CA"/>
        </w:rPr>
        <w:t>.</w:t>
      </w:r>
    </w:p>
    <w:p w14:paraId="3A9AEDCB" w14:textId="7A7B1289" w:rsidR="008D7C8E" w:rsidRDefault="008D7C8E">
      <w:pPr>
        <w:rPr>
          <w:rFonts w:ascii="Arial" w:hAnsi="Arial" w:cs="Arial"/>
          <w:bCs/>
          <w:sz w:val="22"/>
          <w:szCs w:val="22"/>
          <w:lang w:val="fr-CA" w:eastAsia="zh-CN"/>
        </w:rPr>
      </w:pPr>
      <w:r>
        <w:rPr>
          <w:rFonts w:ascii="Arial" w:hAnsi="Arial" w:cs="Arial"/>
          <w:bCs/>
          <w:sz w:val="22"/>
          <w:szCs w:val="22"/>
          <w:lang w:val="fr-CA" w:eastAsia="zh-CN"/>
        </w:rPr>
        <w:br w:type="page"/>
      </w:r>
    </w:p>
    <w:p w14:paraId="5E83017C" w14:textId="77777777" w:rsidR="006015C8" w:rsidRDefault="006015C8">
      <w:pPr>
        <w:spacing w:line="360" w:lineRule="auto"/>
        <w:rPr>
          <w:rFonts w:ascii="Arial" w:hAnsi="Arial" w:cs="Arial"/>
          <w:bCs/>
          <w:sz w:val="22"/>
          <w:szCs w:val="22"/>
          <w:lang w:val="fr-CA" w:eastAsia="zh-CN"/>
        </w:rPr>
      </w:pPr>
    </w:p>
    <w:p w14:paraId="5C1EA390" w14:textId="2ACBD0C7" w:rsidR="003723E6" w:rsidRPr="00601813" w:rsidRDefault="003723E6">
      <w:pPr>
        <w:spacing w:line="360" w:lineRule="auto"/>
        <w:rPr>
          <w:rFonts w:ascii="Montserrat" w:hAnsi="Montserrat" w:cs="Arial"/>
          <w:b/>
          <w:sz w:val="20"/>
          <w:szCs w:val="20"/>
          <w:u w:val="single"/>
          <w:lang w:val="fr-CA" w:eastAsia="zh-CN"/>
        </w:rPr>
      </w:pPr>
      <w:r w:rsidRPr="00601813">
        <w:rPr>
          <w:rFonts w:ascii="Montserrat" w:hAnsi="Montserrat" w:cs="Arial"/>
          <w:b/>
          <w:sz w:val="20"/>
          <w:szCs w:val="20"/>
          <w:u w:val="single"/>
          <w:lang w:val="fr-CA" w:eastAsia="zh-CN"/>
        </w:rPr>
        <w:t>À propos de Henlius</w:t>
      </w:r>
    </w:p>
    <w:p w14:paraId="29338B7A" w14:textId="77777777" w:rsidR="003723E6" w:rsidRPr="00601813" w:rsidRDefault="003723E6" w:rsidP="003723E6">
      <w:pPr>
        <w:spacing w:line="360" w:lineRule="auto"/>
        <w:rPr>
          <w:rFonts w:ascii="Montserrat" w:hAnsi="Montserrat" w:cs="Arial"/>
          <w:bCs/>
          <w:sz w:val="20"/>
          <w:szCs w:val="20"/>
          <w:lang w:val="fr-CA" w:eastAsia="zh-CN"/>
        </w:rPr>
      </w:pPr>
      <w:r w:rsidRPr="00601813">
        <w:rPr>
          <w:rFonts w:ascii="Montserrat" w:hAnsi="Montserrat" w:cs="Arial"/>
          <w:bCs/>
          <w:sz w:val="20"/>
          <w:szCs w:val="20"/>
          <w:lang w:val="fr-CA" w:eastAsia="zh-CN"/>
        </w:rPr>
        <w:t>Shanghai Henlius Biotech, Inc. (2696.HK) est une entreprise biopharmaceutique mondiale axée sur l’innovation, qui s’engage à offrir aux patients du monde entier des traitements biologiques de grande qualité et abordables. L’entreprise se concentre sur de grands domaines thérapeutiques, dont l’oncologie, les maladies auto-immunes et les maladies ophtalmiques. Fondée en 2010, Henlius a mis en place une plateforme biopharmaceutique intégrée et complète couvrant la R-D mondiale, les opérations cliniques, les affaires réglementaires, la fabrication et la commercialisation. L’entreprise emploie près de 4 000 personnes à l’échelle mondiale et exerce ses activités dans plusieurs régions, dont la Chine, les États-Unis et le Japon. Tirant parti des flux de trésorerie stables générés par son portefeuille de biosimilaires pour soutenir l’innovation, Henlius progresse résolument vers sa phase de « mondialisation 2.0 », en bâtissant un modèle de croissance mondiale évolutif et durable. Au début de 2026, Henlius avait obtenu des homologations pour 10 produits dans plus de 60 pays et régions du monde, dont huit homologations en Chine. L’entreprise a aussi franchi plusieurs jalons sur d’importants marchés biopharmaceutiques, avec quatre produits approuvés par la Food and Drug Administration (FDA) des États-Unis et cinq produits approuvés par la Commission européenne (CE), ce qui témoigne de ses capacités de R-D, de ses systèmes de qualité et de ses normes de fabrication harmonisés à l’échelle mondiale.</w:t>
      </w:r>
    </w:p>
    <w:p w14:paraId="397A8E21" w14:textId="69CEE7DF" w:rsidR="003723E6" w:rsidRPr="00601813" w:rsidRDefault="003723E6" w:rsidP="003723E6">
      <w:pPr>
        <w:spacing w:line="360" w:lineRule="auto"/>
        <w:rPr>
          <w:rFonts w:ascii="Montserrat" w:hAnsi="Montserrat" w:cs="Arial"/>
          <w:bCs/>
          <w:sz w:val="20"/>
          <w:szCs w:val="20"/>
          <w:lang w:val="fr-CA" w:eastAsia="zh-CN"/>
        </w:rPr>
      </w:pPr>
    </w:p>
    <w:p w14:paraId="2DAB5FEB" w14:textId="3056B06D" w:rsidR="003723E6" w:rsidRPr="00601813" w:rsidRDefault="003723E6" w:rsidP="003723E6">
      <w:pPr>
        <w:spacing w:line="360" w:lineRule="auto"/>
        <w:rPr>
          <w:rFonts w:ascii="Montserrat" w:hAnsi="Montserrat" w:cs="Arial"/>
          <w:bCs/>
          <w:sz w:val="20"/>
          <w:szCs w:val="20"/>
          <w:lang w:val="fr-CA" w:eastAsia="zh-CN"/>
        </w:rPr>
      </w:pPr>
      <w:r w:rsidRPr="00601813">
        <w:rPr>
          <w:rFonts w:ascii="Montserrat" w:hAnsi="Montserrat" w:cs="Arial"/>
          <w:bCs/>
          <w:sz w:val="20"/>
          <w:szCs w:val="20"/>
          <w:lang w:val="fr-CA" w:eastAsia="zh-CN"/>
        </w:rPr>
        <w:t>Portée par l’innovation, Henlius a bâti un écosystème technologique diversifié et fondé sur des plateformes, grâce à des efforts de R-D coordonnés à Shanghai, aux États-Unis et dans d’autres régions. Ses plateformes d’innovation englobent les inhibiteurs de points de contrôle immunitaire, les technologies d’activation des cellules immunitaires (y compris les activateurs multispécifiques de lymphocytes T), les conjugués anticorps-médicament (CAM) et les plateformes de découverte précoce assistées par l’IA. L’entreprise compte actuellement plus de 50 actifs innovants à un stade précoce, dont environ 70 % devraient être les meilleurs de leur catégorie, et mène plus de 30 essais cliniques dans le monde. Le produit phare de Henlius, le serplulimab (nom commercial : Hetronifly</w:t>
      </w:r>
      <w:r w:rsidRPr="00601813">
        <w:rPr>
          <w:rFonts w:ascii="Montserrat" w:hAnsi="Montserrat" w:cs="Arial"/>
          <w:bCs/>
          <w:sz w:val="20"/>
          <w:szCs w:val="20"/>
          <w:vertAlign w:val="superscript"/>
          <w:lang w:val="fr-CA" w:eastAsia="zh-CN"/>
        </w:rPr>
        <w:t>®</w:t>
      </w:r>
      <w:r w:rsidRPr="00601813">
        <w:rPr>
          <w:rFonts w:ascii="Montserrat" w:hAnsi="Montserrat" w:cs="Arial"/>
          <w:bCs/>
          <w:sz w:val="20"/>
          <w:szCs w:val="20"/>
          <w:lang w:val="fr-CA" w:eastAsia="zh-CN"/>
        </w:rPr>
        <w:t xml:space="preserve"> en Europe), est le premier anticorps monoclonal anti-PD-1 au monde approuvé pour le traitement de première intention du cancer du poumon à petites cellules; il a été approuvé dans </w:t>
      </w:r>
      <w:r w:rsidR="00613632">
        <w:rPr>
          <w:rFonts w:ascii="Montserrat" w:hAnsi="Montserrat" w:cs="Arial"/>
          <w:bCs/>
          <w:sz w:val="20"/>
          <w:szCs w:val="20"/>
          <w:lang w:val="fr-CA" w:eastAsia="zh-CN"/>
        </w:rPr>
        <w:t>50</w:t>
      </w:r>
      <w:r w:rsidRPr="00601813">
        <w:rPr>
          <w:rFonts w:ascii="Montserrat" w:hAnsi="Montserrat" w:cs="Arial"/>
          <w:bCs/>
          <w:sz w:val="20"/>
          <w:szCs w:val="20"/>
          <w:lang w:val="fr-CA" w:eastAsia="zh-CN"/>
        </w:rPr>
        <w:t xml:space="preserve"> marchés à l’échelle mondiale dans le cadre d’un processus de mondialisation accéléré. Parallèlement, plusieurs actifs innovants à fort potentiel — dont le CAM anti-PD-L1 HLX43 et l’anticorps monoclonal anti-HER2 à nouvel épitope HLX22 — progressent dans le cadre d’un développement clinique pivot mondial. Soutenue par un réseau de fabrication de produits biologiques d’une capacité totale de 84 000 L et par des certifications BPF délivrées par les autorités réglementaires de la Chine, de l’Europe et des États-Unis, Henlius a mis en place un système d’approvisionnement mondial stable desservant six continents. Guidée par une mission centrée sur le patient, Henlius demeure résolue à répondre aux besoins </w:t>
      </w:r>
      <w:r w:rsidRPr="00601813">
        <w:rPr>
          <w:rFonts w:ascii="Montserrat" w:hAnsi="Montserrat" w:cs="Arial"/>
          <w:bCs/>
          <w:sz w:val="20"/>
          <w:szCs w:val="20"/>
          <w:lang w:val="fr-CA" w:eastAsia="zh-CN"/>
        </w:rPr>
        <w:lastRenderedPageBreak/>
        <w:t>médicaux non comblés et à transformer l’innovation scientifique en valeur clinique concrète et en accès pour les patients, contribuant de façon durable à l’écosystème biopharmaceutique mondial.</w:t>
      </w:r>
    </w:p>
    <w:p w14:paraId="228B86F3" w14:textId="12E69C33" w:rsidR="003723E6" w:rsidRPr="00601813" w:rsidRDefault="003723E6" w:rsidP="003723E6">
      <w:pPr>
        <w:spacing w:line="360" w:lineRule="auto"/>
        <w:rPr>
          <w:rFonts w:ascii="Montserrat" w:hAnsi="Montserrat" w:cs="Arial"/>
          <w:bCs/>
          <w:sz w:val="20"/>
          <w:szCs w:val="20"/>
          <w:lang w:val="fr-CA" w:eastAsia="zh-CN"/>
        </w:rPr>
      </w:pPr>
    </w:p>
    <w:p w14:paraId="5DC4E42E" w14:textId="77777777" w:rsidR="003723E6" w:rsidRPr="008D7C8E" w:rsidRDefault="003723E6" w:rsidP="003723E6">
      <w:pPr>
        <w:spacing w:line="360" w:lineRule="auto"/>
        <w:rPr>
          <w:rFonts w:ascii="Montserrat" w:hAnsi="Montserrat" w:cs="Arial"/>
          <w:bCs/>
          <w:sz w:val="20"/>
          <w:szCs w:val="20"/>
          <w:lang w:val="fr-CA" w:eastAsia="zh-CN"/>
        </w:rPr>
      </w:pPr>
      <w:r w:rsidRPr="00601813">
        <w:rPr>
          <w:rFonts w:ascii="Montserrat" w:hAnsi="Montserrat" w:cs="Arial"/>
          <w:bCs/>
          <w:sz w:val="20"/>
          <w:szCs w:val="20"/>
          <w:lang w:val="fr-CA" w:eastAsia="zh-CN"/>
        </w:rPr>
        <w:t>Pour en savoir plus sur Henlius, consultez le https://www.henlius.com/en/index.html et suivez-</w:t>
      </w:r>
      <w:r w:rsidRPr="008D7C8E">
        <w:rPr>
          <w:rFonts w:ascii="Montserrat" w:hAnsi="Montserrat" w:cs="Arial"/>
          <w:bCs/>
          <w:sz w:val="20"/>
          <w:szCs w:val="20"/>
          <w:lang w:val="fr-CA" w:eastAsia="zh-CN"/>
        </w:rPr>
        <w:t>nous sur LinkedIn à l’adresse https://www.linkedin.com/company/henlius/.</w:t>
      </w:r>
    </w:p>
    <w:p w14:paraId="713FBB10" w14:textId="77777777" w:rsidR="003723E6" w:rsidRPr="008D7C8E" w:rsidRDefault="003723E6">
      <w:pPr>
        <w:spacing w:line="360" w:lineRule="auto"/>
        <w:rPr>
          <w:rFonts w:ascii="Montserrat" w:hAnsi="Montserrat" w:cs="Arial"/>
          <w:bCs/>
          <w:sz w:val="20"/>
          <w:szCs w:val="20"/>
          <w:lang w:val="fr-CA" w:eastAsia="zh-CN"/>
        </w:rPr>
      </w:pPr>
    </w:p>
    <w:p w14:paraId="00252134" w14:textId="77777777" w:rsidR="008D7C8E" w:rsidRDefault="008D7C8E">
      <w:pPr>
        <w:spacing w:line="360" w:lineRule="auto"/>
        <w:rPr>
          <w:rFonts w:ascii="Montserrat" w:hAnsi="Montserrat" w:cs="Arial"/>
          <w:bCs/>
          <w:sz w:val="20"/>
          <w:szCs w:val="20"/>
          <w:lang w:val="fr-CA" w:eastAsia="zh-CN"/>
        </w:rPr>
      </w:pPr>
    </w:p>
    <w:p w14:paraId="2A283A7D" w14:textId="77777777" w:rsidR="008D7C8E" w:rsidRPr="008D7C8E" w:rsidRDefault="008D7C8E">
      <w:pPr>
        <w:spacing w:line="360" w:lineRule="auto"/>
        <w:rPr>
          <w:rFonts w:ascii="Montserrat" w:hAnsi="Montserrat" w:cs="Arial"/>
          <w:bCs/>
          <w:sz w:val="20"/>
          <w:szCs w:val="20"/>
          <w:lang w:val="fr-CA" w:eastAsia="zh-CN"/>
        </w:rPr>
      </w:pPr>
    </w:p>
    <w:p w14:paraId="096085D8" w14:textId="77777777" w:rsidR="008D7C8E" w:rsidRPr="008D7C8E" w:rsidRDefault="008D7C8E">
      <w:pPr>
        <w:spacing w:line="360" w:lineRule="auto"/>
        <w:rPr>
          <w:rFonts w:ascii="Montserrat" w:hAnsi="Montserrat" w:cs="Arial"/>
          <w:bCs/>
          <w:sz w:val="20"/>
          <w:szCs w:val="20"/>
          <w:lang w:val="fr-CA" w:eastAsia="zh-CN"/>
        </w:rPr>
      </w:pPr>
    </w:p>
    <w:p w14:paraId="63FA39A8" w14:textId="375A3E9E" w:rsidR="008D7C8E" w:rsidRPr="008D7C8E" w:rsidRDefault="008D7C8E">
      <w:pPr>
        <w:spacing w:line="360" w:lineRule="auto"/>
        <w:rPr>
          <w:rFonts w:ascii="Montserrat" w:hAnsi="Montserrat" w:cs="Arial"/>
          <w:b/>
          <w:sz w:val="20"/>
          <w:szCs w:val="20"/>
          <w:lang w:val="fr-CA" w:eastAsia="zh-CN"/>
        </w:rPr>
      </w:pPr>
      <w:r w:rsidRPr="008D7C8E">
        <w:rPr>
          <w:rFonts w:ascii="Montserrat" w:hAnsi="Montserrat" w:cs="Arial"/>
          <w:b/>
          <w:sz w:val="20"/>
          <w:szCs w:val="20"/>
          <w:lang w:val="fr-CA" w:eastAsia="zh-CN"/>
        </w:rPr>
        <w:t>Référence</w:t>
      </w:r>
    </w:p>
    <w:p w14:paraId="005C5FDE" w14:textId="70F03145" w:rsidR="008D7C8E" w:rsidRPr="008D7C8E" w:rsidRDefault="008D7C8E" w:rsidP="008D7C8E">
      <w:pPr>
        <w:pBdr>
          <w:top w:val="nil"/>
          <w:left w:val="nil"/>
          <w:bottom w:val="nil"/>
          <w:right w:val="nil"/>
          <w:between w:val="nil"/>
        </w:pBdr>
        <w:rPr>
          <w:rFonts w:ascii="Montserrat" w:hAnsi="Montserrat"/>
          <w:color w:val="000000"/>
          <w:sz w:val="16"/>
          <w:szCs w:val="16"/>
          <w:lang w:val="fr-CA"/>
        </w:rPr>
      </w:pPr>
      <w:r w:rsidRPr="008D7C8E">
        <w:rPr>
          <w:rFonts w:ascii="Montserrat" w:hAnsi="Montserrat"/>
          <w:sz w:val="16"/>
          <w:szCs w:val="16"/>
          <w:lang w:val="fr-CA"/>
        </w:rPr>
        <w:t xml:space="preserve">1. </w:t>
      </w:r>
      <w:r w:rsidRPr="008D7C8E">
        <w:rPr>
          <w:rFonts w:ascii="Montserrat" w:eastAsia="Arial" w:hAnsi="Montserrat" w:cs="Arial"/>
          <w:color w:val="000000"/>
          <w:sz w:val="16"/>
          <w:szCs w:val="16"/>
          <w:lang w:val="fr-CA"/>
        </w:rPr>
        <w:t>Qu’est-ce que l’ostéoporose? Ostéoporose Canada</w:t>
      </w:r>
      <w:r w:rsidRPr="008D7C8E">
        <w:rPr>
          <w:rFonts w:ascii="Montserrat" w:eastAsia="Arial" w:hAnsi="Montserrat" w:cs="Arial"/>
          <w:sz w:val="16"/>
          <w:szCs w:val="16"/>
          <w:lang w:val="fr-CA"/>
        </w:rPr>
        <w:t>.</w:t>
      </w:r>
      <w:r w:rsidRPr="008D7C8E">
        <w:rPr>
          <w:rFonts w:ascii="Montserrat" w:eastAsia="Arial" w:hAnsi="Montserrat" w:cs="Arial"/>
          <w:color w:val="000000"/>
          <w:sz w:val="16"/>
          <w:szCs w:val="16"/>
          <w:lang w:val="fr-CA"/>
        </w:rPr>
        <w:t xml:space="preserve"> 2024. Consulté le 27 avril 2026. </w:t>
      </w:r>
      <w:hyperlink r:id="rId18">
        <w:r w:rsidRPr="008D7C8E">
          <w:rPr>
            <w:rFonts w:ascii="Montserrat" w:eastAsia="Arial" w:hAnsi="Montserrat" w:cs="Arial"/>
            <w:color w:val="0000FF"/>
            <w:sz w:val="16"/>
            <w:szCs w:val="16"/>
            <w:u w:val="single"/>
            <w:lang w:val="fr-CA"/>
          </w:rPr>
          <w:t>https://osteoporosis.ca/what-is-osteoporosis/</w:t>
        </w:r>
      </w:hyperlink>
      <w:r w:rsidRPr="008D7C8E">
        <w:rPr>
          <w:rFonts w:ascii="Montserrat" w:eastAsia="Arial" w:hAnsi="Montserrat" w:cs="Arial"/>
          <w:color w:val="000000"/>
          <w:sz w:val="16"/>
          <w:szCs w:val="16"/>
          <w:lang w:val="fr-CA"/>
        </w:rPr>
        <w:t xml:space="preserve"> </w:t>
      </w:r>
    </w:p>
    <w:p w14:paraId="59A005D8" w14:textId="77777777" w:rsidR="008D7C8E" w:rsidRPr="008D7C8E" w:rsidRDefault="008D7C8E">
      <w:pPr>
        <w:spacing w:line="360" w:lineRule="auto"/>
        <w:rPr>
          <w:rFonts w:ascii="Montserrat" w:hAnsi="Montserrat" w:cs="Arial"/>
          <w:bCs/>
          <w:sz w:val="22"/>
          <w:szCs w:val="22"/>
          <w:lang w:val="fr-CA" w:eastAsia="zh-CN"/>
        </w:rPr>
      </w:pPr>
    </w:p>
    <w:sectPr w:rsidR="008D7C8E" w:rsidRPr="008D7C8E">
      <w:headerReference w:type="default" r:id="rId19"/>
      <w:footerReference w:type="default" r:id="rId20"/>
      <w:pgSz w:w="12240" w:h="15840"/>
      <w:pgMar w:top="855" w:right="1170" w:bottom="855" w:left="1350" w:header="260" w:footer="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6C60" w14:textId="77777777" w:rsidR="00B12BD6" w:rsidRDefault="00B12BD6">
      <w:r>
        <w:separator/>
      </w:r>
    </w:p>
  </w:endnote>
  <w:endnote w:type="continuationSeparator" w:id="0">
    <w:p w14:paraId="35882D2C" w14:textId="77777777" w:rsidR="00B12BD6" w:rsidRDefault="00B1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AB2896" w:rsidRDefault="00AB2896">
    <w:pPr>
      <w:spacing w:before="120" w:line="334" w:lineRule="auto"/>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F6B8" w14:textId="77777777" w:rsidR="00B12BD6" w:rsidRDefault="00B12BD6">
      <w:r>
        <w:separator/>
      </w:r>
    </w:p>
  </w:footnote>
  <w:footnote w:type="continuationSeparator" w:id="0">
    <w:p w14:paraId="31B6EDE1" w14:textId="77777777" w:rsidR="00B12BD6" w:rsidRDefault="00B1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B2896" w:rsidRDefault="00AB2896">
    <w:pPr>
      <w:spacing w:line="288"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00A2"/>
    <w:multiLevelType w:val="hybridMultilevel"/>
    <w:tmpl w:val="E946D0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7180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96"/>
    <w:rsid w:val="00011B79"/>
    <w:rsid w:val="00013632"/>
    <w:rsid w:val="000138D5"/>
    <w:rsid w:val="0002464A"/>
    <w:rsid w:val="00033A3E"/>
    <w:rsid w:val="00034E8D"/>
    <w:rsid w:val="000575A7"/>
    <w:rsid w:val="00074571"/>
    <w:rsid w:val="000B7A56"/>
    <w:rsid w:val="000C37A3"/>
    <w:rsid w:val="000E1FC7"/>
    <w:rsid w:val="000E3BC9"/>
    <w:rsid w:val="00103597"/>
    <w:rsid w:val="0013128F"/>
    <w:rsid w:val="00132AA0"/>
    <w:rsid w:val="00160157"/>
    <w:rsid w:val="00176574"/>
    <w:rsid w:val="001978E8"/>
    <w:rsid w:val="00197DAA"/>
    <w:rsid w:val="001A2CEB"/>
    <w:rsid w:val="001B3139"/>
    <w:rsid w:val="001B56E9"/>
    <w:rsid w:val="001C675C"/>
    <w:rsid w:val="001D2A4B"/>
    <w:rsid w:val="001F0B90"/>
    <w:rsid w:val="002317A8"/>
    <w:rsid w:val="00231A25"/>
    <w:rsid w:val="0025151E"/>
    <w:rsid w:val="00284FE4"/>
    <w:rsid w:val="00287B26"/>
    <w:rsid w:val="002937D5"/>
    <w:rsid w:val="002A1848"/>
    <w:rsid w:val="002C00C7"/>
    <w:rsid w:val="002C1097"/>
    <w:rsid w:val="002D1F57"/>
    <w:rsid w:val="002E3ACA"/>
    <w:rsid w:val="002F0C64"/>
    <w:rsid w:val="003418EB"/>
    <w:rsid w:val="00343DAB"/>
    <w:rsid w:val="0034400F"/>
    <w:rsid w:val="00350167"/>
    <w:rsid w:val="00365380"/>
    <w:rsid w:val="003721D6"/>
    <w:rsid w:val="003723E6"/>
    <w:rsid w:val="00375CE2"/>
    <w:rsid w:val="00380182"/>
    <w:rsid w:val="003863DA"/>
    <w:rsid w:val="003A26FC"/>
    <w:rsid w:val="003C21D8"/>
    <w:rsid w:val="003C3719"/>
    <w:rsid w:val="003C5333"/>
    <w:rsid w:val="003C580C"/>
    <w:rsid w:val="003F50B9"/>
    <w:rsid w:val="0040328C"/>
    <w:rsid w:val="0040644E"/>
    <w:rsid w:val="00416C5E"/>
    <w:rsid w:val="00432980"/>
    <w:rsid w:val="00452B37"/>
    <w:rsid w:val="00455622"/>
    <w:rsid w:val="00456931"/>
    <w:rsid w:val="00470D14"/>
    <w:rsid w:val="00477C7F"/>
    <w:rsid w:val="00480DAB"/>
    <w:rsid w:val="0048547A"/>
    <w:rsid w:val="00485C87"/>
    <w:rsid w:val="004A499C"/>
    <w:rsid w:val="004C52C2"/>
    <w:rsid w:val="004C571E"/>
    <w:rsid w:val="004E2B32"/>
    <w:rsid w:val="004F31D1"/>
    <w:rsid w:val="00521C40"/>
    <w:rsid w:val="00543499"/>
    <w:rsid w:val="0054546E"/>
    <w:rsid w:val="00555F49"/>
    <w:rsid w:val="00575D93"/>
    <w:rsid w:val="00580037"/>
    <w:rsid w:val="005801CC"/>
    <w:rsid w:val="005857E4"/>
    <w:rsid w:val="005A00E8"/>
    <w:rsid w:val="005B2D00"/>
    <w:rsid w:val="005C2845"/>
    <w:rsid w:val="005C34ED"/>
    <w:rsid w:val="005D3529"/>
    <w:rsid w:val="005D386B"/>
    <w:rsid w:val="005E655A"/>
    <w:rsid w:val="005F333A"/>
    <w:rsid w:val="005F3653"/>
    <w:rsid w:val="006015C8"/>
    <w:rsid w:val="00601813"/>
    <w:rsid w:val="00607B50"/>
    <w:rsid w:val="00613632"/>
    <w:rsid w:val="00616A65"/>
    <w:rsid w:val="00630CD4"/>
    <w:rsid w:val="00632316"/>
    <w:rsid w:val="00644ED6"/>
    <w:rsid w:val="00671537"/>
    <w:rsid w:val="006721DE"/>
    <w:rsid w:val="00676DC3"/>
    <w:rsid w:val="00691DD4"/>
    <w:rsid w:val="006A0E0C"/>
    <w:rsid w:val="006A643B"/>
    <w:rsid w:val="006A6810"/>
    <w:rsid w:val="006B42DE"/>
    <w:rsid w:val="006C764B"/>
    <w:rsid w:val="006E0085"/>
    <w:rsid w:val="006F7553"/>
    <w:rsid w:val="006F7CDF"/>
    <w:rsid w:val="007371A4"/>
    <w:rsid w:val="00760FA8"/>
    <w:rsid w:val="00762729"/>
    <w:rsid w:val="0078032E"/>
    <w:rsid w:val="007817FE"/>
    <w:rsid w:val="007B173E"/>
    <w:rsid w:val="007B3AA3"/>
    <w:rsid w:val="007B4356"/>
    <w:rsid w:val="007C1D44"/>
    <w:rsid w:val="007D3EAE"/>
    <w:rsid w:val="0082054B"/>
    <w:rsid w:val="008433DD"/>
    <w:rsid w:val="0086144B"/>
    <w:rsid w:val="00861634"/>
    <w:rsid w:val="00865726"/>
    <w:rsid w:val="0086716B"/>
    <w:rsid w:val="008A1BFF"/>
    <w:rsid w:val="008A6599"/>
    <w:rsid w:val="008C20C9"/>
    <w:rsid w:val="008D7C8E"/>
    <w:rsid w:val="008F081A"/>
    <w:rsid w:val="008F7AFA"/>
    <w:rsid w:val="00912B5F"/>
    <w:rsid w:val="0092016A"/>
    <w:rsid w:val="0092330F"/>
    <w:rsid w:val="009340CE"/>
    <w:rsid w:val="009465D8"/>
    <w:rsid w:val="00955ED2"/>
    <w:rsid w:val="009606BD"/>
    <w:rsid w:val="0097632B"/>
    <w:rsid w:val="009A0D4D"/>
    <w:rsid w:val="009A2D1E"/>
    <w:rsid w:val="009B0DDF"/>
    <w:rsid w:val="009B67D6"/>
    <w:rsid w:val="009D0FE2"/>
    <w:rsid w:val="009D20B5"/>
    <w:rsid w:val="009E2D02"/>
    <w:rsid w:val="009E481D"/>
    <w:rsid w:val="009F2E28"/>
    <w:rsid w:val="00A05E60"/>
    <w:rsid w:val="00A126C6"/>
    <w:rsid w:val="00A14B46"/>
    <w:rsid w:val="00A32233"/>
    <w:rsid w:val="00A41B98"/>
    <w:rsid w:val="00A542C8"/>
    <w:rsid w:val="00A82825"/>
    <w:rsid w:val="00A837E4"/>
    <w:rsid w:val="00AA51DF"/>
    <w:rsid w:val="00AB2896"/>
    <w:rsid w:val="00AB2B2F"/>
    <w:rsid w:val="00AB3D7E"/>
    <w:rsid w:val="00AB75FB"/>
    <w:rsid w:val="00AE2DF6"/>
    <w:rsid w:val="00B12BD6"/>
    <w:rsid w:val="00B15C0E"/>
    <w:rsid w:val="00B17726"/>
    <w:rsid w:val="00B23A73"/>
    <w:rsid w:val="00B3223F"/>
    <w:rsid w:val="00B334D4"/>
    <w:rsid w:val="00B50D53"/>
    <w:rsid w:val="00B57A8D"/>
    <w:rsid w:val="00B57B7D"/>
    <w:rsid w:val="00B633FF"/>
    <w:rsid w:val="00B67787"/>
    <w:rsid w:val="00B84CAE"/>
    <w:rsid w:val="00BA4585"/>
    <w:rsid w:val="00BA6234"/>
    <w:rsid w:val="00BB2F24"/>
    <w:rsid w:val="00BD20B3"/>
    <w:rsid w:val="00BD3198"/>
    <w:rsid w:val="00BD4153"/>
    <w:rsid w:val="00BD787E"/>
    <w:rsid w:val="00BE04CA"/>
    <w:rsid w:val="00C052CC"/>
    <w:rsid w:val="00C23BA8"/>
    <w:rsid w:val="00C416E3"/>
    <w:rsid w:val="00C44DEC"/>
    <w:rsid w:val="00C70BA1"/>
    <w:rsid w:val="00C9051D"/>
    <w:rsid w:val="00C96909"/>
    <w:rsid w:val="00CA65FE"/>
    <w:rsid w:val="00CB0129"/>
    <w:rsid w:val="00CB1739"/>
    <w:rsid w:val="00CD1B1D"/>
    <w:rsid w:val="00CD68CE"/>
    <w:rsid w:val="00CE2F09"/>
    <w:rsid w:val="00CF2536"/>
    <w:rsid w:val="00CF6D9A"/>
    <w:rsid w:val="00D11E02"/>
    <w:rsid w:val="00D1368C"/>
    <w:rsid w:val="00D26D59"/>
    <w:rsid w:val="00D31125"/>
    <w:rsid w:val="00D40A6E"/>
    <w:rsid w:val="00D57401"/>
    <w:rsid w:val="00D644A7"/>
    <w:rsid w:val="00D77AB6"/>
    <w:rsid w:val="00DA0103"/>
    <w:rsid w:val="00DA639D"/>
    <w:rsid w:val="00DB57C3"/>
    <w:rsid w:val="00DD498D"/>
    <w:rsid w:val="00DD54E6"/>
    <w:rsid w:val="00DD6688"/>
    <w:rsid w:val="00E00B97"/>
    <w:rsid w:val="00E16697"/>
    <w:rsid w:val="00E233EE"/>
    <w:rsid w:val="00E5204B"/>
    <w:rsid w:val="00EB0F5C"/>
    <w:rsid w:val="00EB5F42"/>
    <w:rsid w:val="00EB7C1A"/>
    <w:rsid w:val="00EC4631"/>
    <w:rsid w:val="00ED09AE"/>
    <w:rsid w:val="00ED0AEA"/>
    <w:rsid w:val="00ED0D67"/>
    <w:rsid w:val="00ED4815"/>
    <w:rsid w:val="00EE3F72"/>
    <w:rsid w:val="00EF2C27"/>
    <w:rsid w:val="00EF45ED"/>
    <w:rsid w:val="00EF715A"/>
    <w:rsid w:val="00F00F3E"/>
    <w:rsid w:val="00F12BA5"/>
    <w:rsid w:val="00F137CD"/>
    <w:rsid w:val="00F14BE4"/>
    <w:rsid w:val="00F2770A"/>
    <w:rsid w:val="00F44F67"/>
    <w:rsid w:val="00F54C1C"/>
    <w:rsid w:val="00F6080C"/>
    <w:rsid w:val="00F8563E"/>
    <w:rsid w:val="00F8665F"/>
    <w:rsid w:val="00F9287D"/>
    <w:rsid w:val="00F962BC"/>
    <w:rsid w:val="00FA54FC"/>
    <w:rsid w:val="00FB5DC5"/>
    <w:rsid w:val="00FB5E11"/>
    <w:rsid w:val="00FC4470"/>
    <w:rsid w:val="00FC7C37"/>
    <w:rsid w:val="00FD301E"/>
    <w:rsid w:val="00FD3652"/>
    <w:rsid w:val="00FF40D8"/>
    <w:rsid w:val="0623054D"/>
    <w:rsid w:val="0A0F8027"/>
    <w:rsid w:val="0E11784B"/>
    <w:rsid w:val="0E8F9D7E"/>
    <w:rsid w:val="14D974A0"/>
    <w:rsid w:val="1652E4FE"/>
    <w:rsid w:val="1AF056F0"/>
    <w:rsid w:val="1EF5CD6E"/>
    <w:rsid w:val="1FB4B2D3"/>
    <w:rsid w:val="29CD85A3"/>
    <w:rsid w:val="4242EB5D"/>
    <w:rsid w:val="42CC3F00"/>
    <w:rsid w:val="4E7BD74F"/>
    <w:rsid w:val="4FC568CD"/>
    <w:rsid w:val="570876A2"/>
    <w:rsid w:val="70C96252"/>
    <w:rsid w:val="72A06517"/>
    <w:rsid w:val="752E38B0"/>
    <w:rsid w:val="7B8B2E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D1120"/>
  <w15:docId w15:val="{8D15E0B5-6E0D-4BAD-AC69-5A458C3F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Normal0"/>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numbering" w:customStyle="1" w:styleId="bulletasterisk">
    <w:name w:val="bullet.asterisk"/>
  </w:style>
  <w:style w:type="numbering" w:customStyle="1" w:styleId="bulletcircle">
    <w:name w:val="bullet.circle"/>
  </w:style>
  <w:style w:type="numbering" w:customStyle="1" w:styleId="bulletdagger">
    <w:name w:val="bullet.dagger"/>
  </w:style>
  <w:style w:type="numbering" w:customStyle="1" w:styleId="bulletdash">
    <w:name w:val="bullet.dash"/>
  </w:style>
  <w:style w:type="numbering" w:customStyle="1" w:styleId="bulletlargebox">
    <w:name w:val="bullet.largebox"/>
  </w:style>
  <w:style w:type="numbering" w:customStyle="1" w:styleId="bulletround">
    <w:name w:val="bullet.round"/>
  </w:style>
  <w:style w:type="numbering" w:customStyle="1" w:styleId="bulletsquare">
    <w:name w:val="bullet.square"/>
  </w:style>
  <w:style w:type="numbering" w:customStyle="1" w:styleId="listarabic">
    <w:name w:val="list.arabic"/>
  </w:style>
  <w:style w:type="numbering" w:customStyle="1" w:styleId="listlatinlowercase">
    <w:name w:val="list.latin.lowercase"/>
  </w:style>
  <w:style w:type="numbering" w:customStyle="1" w:styleId="listlatinuppercase">
    <w:name w:val="list.latin.uppercase"/>
  </w:style>
  <w:style w:type="numbering" w:customStyle="1" w:styleId="listromanlowercase">
    <w:name w:val="list.roman.lowercase"/>
  </w:style>
  <w:style w:type="numbering" w:customStyle="1" w:styleId="listromanuppercase">
    <w:name w:val="list.roman.uppercase"/>
  </w:style>
  <w:style w:type="numbering" w:customStyle="1" w:styleId="outlinearabic">
    <w:name w:val="outline.arabic"/>
  </w:style>
  <w:style w:type="paragraph" w:styleId="Rvision">
    <w:name w:val="Revision"/>
    <w:hidden/>
    <w:uiPriority w:val="99"/>
    <w:semiHidden/>
    <w:rsid w:val="00AC6971"/>
  </w:style>
  <w:style w:type="character" w:styleId="Lienhypertexte">
    <w:name w:val="Hyperlink"/>
    <w:basedOn w:val="Policepardfaut"/>
    <w:rsid w:val="00AC6971"/>
    <w:rPr>
      <w:color w:val="0000FF" w:themeColor="hyperlink"/>
      <w:u w:val="single"/>
    </w:rPr>
  </w:style>
  <w:style w:type="character" w:styleId="Mentionnonrsolue">
    <w:name w:val="Unresolved Mention"/>
    <w:basedOn w:val="Policepardfaut"/>
    <w:uiPriority w:val="99"/>
    <w:semiHidden/>
    <w:unhideWhenUsed/>
    <w:rsid w:val="00AC6971"/>
    <w:rPr>
      <w:color w:val="605E5C"/>
      <w:shd w:val="clear" w:color="auto" w:fill="E1DFDD"/>
    </w:rPr>
  </w:style>
  <w:style w:type="character" w:styleId="Marquedecommentaire">
    <w:name w:val="annotation reference"/>
    <w:basedOn w:val="Policepardfaut"/>
    <w:uiPriority w:val="99"/>
    <w:unhideWhenUsed/>
    <w:rsid w:val="00534CD5"/>
    <w:rPr>
      <w:sz w:val="18"/>
      <w:szCs w:val="18"/>
    </w:rPr>
  </w:style>
  <w:style w:type="paragraph" w:styleId="Commentaire">
    <w:name w:val="annotation text"/>
    <w:basedOn w:val="Normal"/>
    <w:link w:val="CommentaireCar"/>
    <w:uiPriority w:val="99"/>
    <w:unhideWhenUsed/>
    <w:rsid w:val="00534CD5"/>
    <w:pPr>
      <w:widowControl w:val="0"/>
      <w:wordWrap w:val="0"/>
      <w:autoSpaceDE w:val="0"/>
      <w:autoSpaceDN w:val="0"/>
      <w:spacing w:after="200" w:line="276" w:lineRule="auto"/>
    </w:pPr>
    <w:rPr>
      <w:rFonts w:ascii="Malgun Gothic" w:eastAsia="Malgun Gothic" w:hAnsi="Malgun Gothic" w:cs="Malgun Gothic"/>
      <w:sz w:val="20"/>
      <w:szCs w:val="20"/>
    </w:rPr>
  </w:style>
  <w:style w:type="character" w:customStyle="1" w:styleId="CommentaireCar">
    <w:name w:val="Commentaire Car"/>
    <w:basedOn w:val="Policepardfaut"/>
    <w:link w:val="Commentaire"/>
    <w:uiPriority w:val="99"/>
    <w:rsid w:val="00534CD5"/>
    <w:rPr>
      <w:rFonts w:ascii="Malgun Gothic" w:eastAsia="Malgun Gothic" w:hAnsi="Malgun Gothic" w:cs="Malgun Gothic"/>
      <w:kern w:val="0"/>
    </w:rPr>
  </w:style>
  <w:style w:type="character" w:styleId="Appelnotedebasdep">
    <w:name w:val="footnote reference"/>
    <w:basedOn w:val="Policepardfaut"/>
    <w:uiPriority w:val="99"/>
    <w:unhideWhenUsed/>
    <w:rsid w:val="00534CD5"/>
    <w:rPr>
      <w:vertAlign w:val="superscript"/>
    </w:rPr>
  </w:style>
  <w:style w:type="paragraph" w:styleId="Objetducommentaire">
    <w:name w:val="annotation subject"/>
    <w:basedOn w:val="Commentaire"/>
    <w:next w:val="Commentaire"/>
    <w:link w:val="ObjetducommentaireCar"/>
    <w:rsid w:val="00534CD5"/>
    <w:pPr>
      <w:widowControl/>
      <w:wordWrap/>
      <w:autoSpaceDE/>
      <w:autoSpaceDN/>
      <w:spacing w:after="0" w:line="240" w:lineRule="auto"/>
    </w:pPr>
    <w:rPr>
      <w:rFonts w:ascii="Times New Roman" w:eastAsia="Times New Roman" w:hAnsi="Times New Roman" w:cs="Times New Roman"/>
      <w:b/>
      <w:bCs/>
      <w:kern w:val="16"/>
    </w:rPr>
  </w:style>
  <w:style w:type="character" w:customStyle="1" w:styleId="ObjetducommentaireCar">
    <w:name w:val="Objet du commentaire Car"/>
    <w:basedOn w:val="CommentaireCar"/>
    <w:link w:val="Objetducommentaire"/>
    <w:rsid w:val="00534CD5"/>
    <w:rPr>
      <w:rFonts w:ascii="Malgun Gothic" w:eastAsia="Malgun Gothic" w:hAnsi="Malgun Gothic" w:cs="Malgun Gothic"/>
      <w:b/>
      <w:bCs/>
      <w:kern w:val="0"/>
    </w:rPr>
  </w:style>
  <w:style w:type="paragraph" w:styleId="En-tte">
    <w:name w:val="header"/>
    <w:basedOn w:val="Normal"/>
    <w:link w:val="En-tteCar"/>
    <w:rsid w:val="0043492E"/>
    <w:pPr>
      <w:tabs>
        <w:tab w:val="center" w:pos="4680"/>
        <w:tab w:val="right" w:pos="9360"/>
      </w:tabs>
    </w:pPr>
  </w:style>
  <w:style w:type="character" w:customStyle="1" w:styleId="En-tteCar">
    <w:name w:val="En-tête Car"/>
    <w:basedOn w:val="Policepardfaut"/>
    <w:link w:val="En-tte"/>
    <w:rsid w:val="0043492E"/>
    <w:rPr>
      <w:sz w:val="24"/>
      <w:szCs w:val="24"/>
    </w:rPr>
  </w:style>
  <w:style w:type="paragraph" w:styleId="Pieddepage">
    <w:name w:val="footer"/>
    <w:basedOn w:val="Normal"/>
    <w:link w:val="PieddepageCar"/>
    <w:rsid w:val="0043492E"/>
    <w:pPr>
      <w:tabs>
        <w:tab w:val="center" w:pos="4680"/>
        <w:tab w:val="right" w:pos="9360"/>
      </w:tabs>
    </w:pPr>
  </w:style>
  <w:style w:type="character" w:customStyle="1" w:styleId="PieddepageCar">
    <w:name w:val="Pied de page Car"/>
    <w:basedOn w:val="Policepardfaut"/>
    <w:link w:val="Pieddepage"/>
    <w:rsid w:val="0043492E"/>
    <w:rPr>
      <w:sz w:val="24"/>
      <w:szCs w:val="24"/>
    </w:rPr>
  </w:style>
  <w:style w:type="paragraph" w:styleId="Paragraphedeliste">
    <w:name w:val="List Paragraph"/>
    <w:basedOn w:val="Normal"/>
    <w:uiPriority w:val="34"/>
    <w:qFormat/>
    <w:rsid w:val="00905E97"/>
    <w:pPr>
      <w:ind w:left="720"/>
      <w:contextualSpacing/>
    </w:pPr>
  </w:style>
  <w:style w:type="paragraph" w:customStyle="1" w:styleId="p1">
    <w:name w:val="p1"/>
    <w:basedOn w:val="Normal"/>
    <w:rsid w:val="004B1438"/>
    <w:rPr>
      <w:rFonts w:ascii="Helvetica" w:hAnsi="Helvetica"/>
      <w:color w:val="464749"/>
      <w:sz w:val="27"/>
      <w:szCs w:val="27"/>
    </w:rPr>
  </w:style>
  <w:style w:type="character" w:customStyle="1" w:styleId="apple-converted-space">
    <w:name w:val="apple-converted-space"/>
    <w:basedOn w:val="Policepardfaut"/>
    <w:rsid w:val="00175241"/>
  </w:style>
  <w:style w:type="paragraph" w:styleId="Notedefin">
    <w:name w:val="endnote text"/>
    <w:basedOn w:val="Normal"/>
    <w:link w:val="NotedefinCar"/>
    <w:rsid w:val="00DC0E59"/>
    <w:rPr>
      <w:sz w:val="20"/>
      <w:szCs w:val="20"/>
    </w:rPr>
  </w:style>
  <w:style w:type="character" w:customStyle="1" w:styleId="NotedefinCar">
    <w:name w:val="Note de fin Car"/>
    <w:basedOn w:val="Policepardfaut"/>
    <w:link w:val="Notedefin"/>
    <w:rsid w:val="00DC0E59"/>
  </w:style>
  <w:style w:type="character" w:styleId="Appeldenotedefin">
    <w:name w:val="endnote reference"/>
    <w:basedOn w:val="Policepardfaut"/>
    <w:uiPriority w:val="99"/>
    <w:rsid w:val="00DC0E59"/>
    <w:rPr>
      <w:vertAlign w:val="superscript"/>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paragraph" w:styleId="Corpsdetexte2">
    <w:name w:val="Body Text 2"/>
    <w:basedOn w:val="Normal"/>
    <w:link w:val="Corpsdetexte2Car"/>
    <w:rsid w:val="003B4DD4"/>
    <w:pPr>
      <w:spacing w:after="120" w:line="480" w:lineRule="auto"/>
    </w:pPr>
    <w:rPr>
      <w:rFonts w:eastAsia="MS Mincho"/>
      <w:lang w:eastAsia="ja-JP"/>
    </w:rPr>
  </w:style>
  <w:style w:type="character" w:customStyle="1" w:styleId="Corpsdetexte2Car">
    <w:name w:val="Corps de texte 2 Car"/>
    <w:basedOn w:val="Policepardfaut"/>
    <w:link w:val="Corpsdetexte2"/>
    <w:rsid w:val="003B4DD4"/>
    <w:rPr>
      <w:rFonts w:eastAsia="MS Mincho"/>
      <w:lang w:eastAsia="ja-JP"/>
    </w:rPr>
  </w:style>
  <w:style w:type="table" w:customStyle="1" w:styleId="a0">
    <w:basedOn w:val="TableauNormal"/>
    <w:tblPr>
      <w:tblStyleRowBandSize w:val="1"/>
      <w:tblStyleColBandSize w:val="1"/>
      <w:tblCellMar>
        <w:left w:w="115" w:type="dxa"/>
        <w:right w:w="115" w:type="dxa"/>
      </w:tblCellMar>
    </w:tblPr>
  </w:style>
  <w:style w:type="paragraph" w:styleId="Notedebasdepage">
    <w:name w:val="footnote text"/>
    <w:basedOn w:val="Normal"/>
    <w:link w:val="NotedebasdepageCar"/>
    <w:uiPriority w:val="99"/>
    <w:semiHidden/>
    <w:unhideWhenUsed/>
    <w:rsid w:val="00A43885"/>
    <w:rPr>
      <w:sz w:val="20"/>
      <w:szCs w:val="20"/>
    </w:rPr>
  </w:style>
  <w:style w:type="character" w:customStyle="1" w:styleId="NotedebasdepageCar">
    <w:name w:val="Note de bas de page Car"/>
    <w:basedOn w:val="Policepardfaut"/>
    <w:link w:val="Notedebasdepage"/>
    <w:uiPriority w:val="99"/>
    <w:semiHidden/>
    <w:rsid w:val="00A43885"/>
    <w:rPr>
      <w:sz w:val="20"/>
      <w:szCs w:val="20"/>
    </w:rPr>
  </w:style>
  <w:style w:type="table" w:customStyle="1" w:styleId="a1">
    <w:basedOn w:val="Tableau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32AA0"/>
  </w:style>
  <w:style w:type="table" w:styleId="Grilledutableau">
    <w:name w:val="Table Grid"/>
    <w:basedOn w:val="TableauNormal"/>
    <w:uiPriority w:val="39"/>
    <w:rsid w:val="00033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60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9174">
      <w:bodyDiv w:val="1"/>
      <w:marLeft w:val="0"/>
      <w:marRight w:val="0"/>
      <w:marTop w:val="0"/>
      <w:marBottom w:val="0"/>
      <w:divBdr>
        <w:top w:val="none" w:sz="0" w:space="0" w:color="auto"/>
        <w:left w:val="none" w:sz="0" w:space="0" w:color="auto"/>
        <w:bottom w:val="none" w:sz="0" w:space="0" w:color="auto"/>
        <w:right w:val="none" w:sz="0" w:space="0" w:color="auto"/>
      </w:divBdr>
    </w:div>
    <w:div w:id="962997945">
      <w:bodyDiv w:val="1"/>
      <w:marLeft w:val="0"/>
      <w:marRight w:val="0"/>
      <w:marTop w:val="0"/>
      <w:marBottom w:val="0"/>
      <w:divBdr>
        <w:top w:val="none" w:sz="0" w:space="0" w:color="auto"/>
        <w:left w:val="none" w:sz="0" w:space="0" w:color="auto"/>
        <w:bottom w:val="none" w:sz="0" w:space="0" w:color="auto"/>
        <w:right w:val="none" w:sz="0" w:space="0" w:color="auto"/>
      </w:divBdr>
      <w:divsChild>
        <w:div w:id="149978392">
          <w:marLeft w:val="0"/>
          <w:marRight w:val="0"/>
          <w:marTop w:val="0"/>
          <w:marBottom w:val="0"/>
          <w:divBdr>
            <w:top w:val="none" w:sz="0" w:space="0" w:color="auto"/>
            <w:left w:val="none" w:sz="0" w:space="0" w:color="auto"/>
            <w:bottom w:val="none" w:sz="0" w:space="0" w:color="auto"/>
            <w:right w:val="none" w:sz="0" w:space="0" w:color="auto"/>
          </w:divBdr>
          <w:divsChild>
            <w:div w:id="1824005399">
              <w:marLeft w:val="0"/>
              <w:marRight w:val="0"/>
              <w:marTop w:val="0"/>
              <w:marBottom w:val="0"/>
              <w:divBdr>
                <w:top w:val="none" w:sz="0" w:space="0" w:color="auto"/>
                <w:left w:val="none" w:sz="0" w:space="0" w:color="auto"/>
                <w:bottom w:val="none" w:sz="0" w:space="0" w:color="auto"/>
                <w:right w:val="none" w:sz="0" w:space="0" w:color="auto"/>
              </w:divBdr>
              <w:divsChild>
                <w:div w:id="1174031875">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365374038">
                      <w:marLeft w:val="0"/>
                      <w:marRight w:val="0"/>
                      <w:marTop w:val="0"/>
                      <w:marBottom w:val="0"/>
                      <w:divBdr>
                        <w:top w:val="none" w:sz="0" w:space="0" w:color="auto"/>
                        <w:left w:val="none" w:sz="0" w:space="0" w:color="auto"/>
                        <w:bottom w:val="none" w:sz="0" w:space="0" w:color="auto"/>
                        <w:right w:val="none" w:sz="0" w:space="0" w:color="auto"/>
                      </w:divBdr>
                      <w:divsChild>
                        <w:div w:id="707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7398">
          <w:marLeft w:val="0"/>
          <w:marRight w:val="0"/>
          <w:marTop w:val="0"/>
          <w:marBottom w:val="0"/>
          <w:divBdr>
            <w:top w:val="none" w:sz="0" w:space="0" w:color="auto"/>
            <w:left w:val="none" w:sz="0" w:space="0" w:color="auto"/>
            <w:bottom w:val="none" w:sz="0" w:space="0" w:color="auto"/>
            <w:right w:val="none" w:sz="0" w:space="0" w:color="auto"/>
          </w:divBdr>
          <w:divsChild>
            <w:div w:id="1104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6976">
      <w:bodyDiv w:val="1"/>
      <w:marLeft w:val="0"/>
      <w:marRight w:val="0"/>
      <w:marTop w:val="0"/>
      <w:marBottom w:val="0"/>
      <w:divBdr>
        <w:top w:val="none" w:sz="0" w:space="0" w:color="auto"/>
        <w:left w:val="none" w:sz="0" w:space="0" w:color="auto"/>
        <w:bottom w:val="none" w:sz="0" w:space="0" w:color="auto"/>
        <w:right w:val="none" w:sz="0" w:space="0" w:color="auto"/>
      </w:divBdr>
      <w:divsChild>
        <w:div w:id="417218593">
          <w:marLeft w:val="0"/>
          <w:marRight w:val="0"/>
          <w:marTop w:val="0"/>
          <w:marBottom w:val="0"/>
          <w:divBdr>
            <w:top w:val="none" w:sz="0" w:space="0" w:color="auto"/>
            <w:left w:val="none" w:sz="0" w:space="0" w:color="auto"/>
            <w:bottom w:val="none" w:sz="0" w:space="0" w:color="auto"/>
            <w:right w:val="none" w:sz="0" w:space="0" w:color="auto"/>
          </w:divBdr>
          <w:divsChild>
            <w:div w:id="1463694070">
              <w:marLeft w:val="0"/>
              <w:marRight w:val="0"/>
              <w:marTop w:val="0"/>
              <w:marBottom w:val="0"/>
              <w:divBdr>
                <w:top w:val="none" w:sz="0" w:space="0" w:color="auto"/>
                <w:left w:val="none" w:sz="0" w:space="0" w:color="auto"/>
                <w:bottom w:val="none" w:sz="0" w:space="0" w:color="auto"/>
                <w:right w:val="none" w:sz="0" w:space="0" w:color="auto"/>
              </w:divBdr>
            </w:div>
          </w:divsChild>
        </w:div>
        <w:div w:id="1823430174">
          <w:marLeft w:val="0"/>
          <w:marRight w:val="0"/>
          <w:marTop w:val="0"/>
          <w:marBottom w:val="0"/>
          <w:divBdr>
            <w:top w:val="none" w:sz="0" w:space="0" w:color="auto"/>
            <w:left w:val="none" w:sz="0" w:space="0" w:color="auto"/>
            <w:bottom w:val="none" w:sz="0" w:space="0" w:color="auto"/>
            <w:right w:val="none" w:sz="0" w:space="0" w:color="auto"/>
          </w:divBdr>
          <w:divsChild>
            <w:div w:id="1435054376">
              <w:marLeft w:val="0"/>
              <w:marRight w:val="0"/>
              <w:marTop w:val="0"/>
              <w:marBottom w:val="0"/>
              <w:divBdr>
                <w:top w:val="none" w:sz="0" w:space="0" w:color="auto"/>
                <w:left w:val="none" w:sz="0" w:space="0" w:color="auto"/>
                <w:bottom w:val="none" w:sz="0" w:space="0" w:color="auto"/>
                <w:right w:val="none" w:sz="0" w:space="0" w:color="auto"/>
              </w:divBdr>
              <w:divsChild>
                <w:div w:id="761216994">
                  <w:marLeft w:val="-180"/>
                  <w:marRight w:val="-180"/>
                  <w:marTop w:val="0"/>
                  <w:marBottom w:val="0"/>
                  <w:divBdr>
                    <w:top w:val="single" w:sz="6" w:space="15" w:color="46474C"/>
                    <w:left w:val="single" w:sz="6" w:space="15" w:color="46474C"/>
                    <w:bottom w:val="single" w:sz="6" w:space="15" w:color="46474C"/>
                    <w:right w:val="single" w:sz="6" w:space="15" w:color="46474C"/>
                  </w:divBdr>
                  <w:divsChild>
                    <w:div w:id="678779648">
                      <w:marLeft w:val="0"/>
                      <w:marRight w:val="0"/>
                      <w:marTop w:val="0"/>
                      <w:marBottom w:val="0"/>
                      <w:divBdr>
                        <w:top w:val="none" w:sz="0" w:space="0" w:color="auto"/>
                        <w:left w:val="none" w:sz="0" w:space="0" w:color="auto"/>
                        <w:bottom w:val="none" w:sz="0" w:space="0" w:color="auto"/>
                        <w:right w:val="none" w:sz="0" w:space="0" w:color="auto"/>
                      </w:divBdr>
                      <w:divsChild>
                        <w:div w:id="11923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8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osteoporosis.ca/what-is-osteoporos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inkedin.com/company/organoncanada/" TargetMode="External"/><Relationship Id="rId2" Type="http://schemas.openxmlformats.org/officeDocument/2006/relationships/customXml" Target="../customXml/item2.xml"/><Relationship Id="rId16" Type="http://schemas.openxmlformats.org/officeDocument/2006/relationships/hyperlink" Target="http://www.organon.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ganon.com/canada-fr/wp-content/uploads/sites/28/2026/03/TUZEMTY_PM-Fr.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ganon.com/canada-fr/wp-content/uploads/sites/28/2026/03/BILDYOS_PM-Fr.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33360933AF14FB4514332580E124A" ma:contentTypeVersion="17" ma:contentTypeDescription="Create a new document." ma:contentTypeScope="" ma:versionID="84a36716c6a2f3e96d3c69157efbd955">
  <xsd:schema xmlns:xsd="http://www.w3.org/2001/XMLSchema" xmlns:xs="http://www.w3.org/2001/XMLSchema" xmlns:p="http://schemas.microsoft.com/office/2006/metadata/properties" xmlns:ns2="c9be4c36-520d-49a1-b686-44dd37659496" xmlns:ns3="bbbc0597-c768-4a6d-ae48-a83523a7823a" targetNamespace="http://schemas.microsoft.com/office/2006/metadata/properties" ma:root="true" ma:fieldsID="59d2aaa37831236eb43e800b9f8df277" ns2:_="" ns3:_="">
    <xsd:import namespace="c9be4c36-520d-49a1-b686-44dd37659496"/>
    <xsd:import namespace="bbbc0597-c768-4a6d-ae48-a83523a782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e4c36-520d-49a1-b686-44dd37659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ea9b38-78a5-408a-815c-fe48337954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c0597-c768-4a6d-ae48-a83523a782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0245d5-3ffc-4e0d-b17c-03f8fc1838b7}" ma:internalName="TaxCatchAll" ma:showField="CatchAllData" ma:web="bbbc0597-c768-4a6d-ae48-a83523a78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e4c36-520d-49a1-b686-44dd37659496">
      <Terms xmlns="http://schemas.microsoft.com/office/infopath/2007/PartnerControls"/>
    </lcf76f155ced4ddcb4097134ff3c332f>
    <TaxCatchAll xmlns="bbbc0597-c768-4a6d-ae48-a83523a7823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P9J3Uo3BMI9Jg1rHINp95vDzA==">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</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A5BF-272B-449A-8A7E-FDE6E534EE6C}">
  <ds:schemaRefs>
    <ds:schemaRef ds:uri="http://schemas.microsoft.com/sharepoint/v3/contenttype/forms"/>
  </ds:schemaRefs>
</ds:datastoreItem>
</file>

<file path=customXml/itemProps2.xml><?xml version="1.0" encoding="utf-8"?>
<ds:datastoreItem xmlns:ds="http://schemas.openxmlformats.org/officeDocument/2006/customXml" ds:itemID="{BABF1559-6E79-4654-B3D0-F3E02E553C7B}"/>
</file>

<file path=customXml/itemProps3.xml><?xml version="1.0" encoding="utf-8"?>
<ds:datastoreItem xmlns:ds="http://schemas.openxmlformats.org/officeDocument/2006/customXml" ds:itemID="{1992C220-CF4A-4774-BB74-0569D70B9806}">
  <ds:schemaRefs>
    <ds:schemaRef ds:uri="http://schemas.microsoft.com/office/2006/metadata/properties"/>
    <ds:schemaRef ds:uri="http://schemas.microsoft.com/office/infopath/2007/PartnerControls"/>
    <ds:schemaRef ds:uri="c9be4c36-520d-49a1-b686-44dd37659496"/>
    <ds:schemaRef ds:uri="bbbc0597-c768-4a6d-ae48-a83523a7823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BFAF0F7-36CC-48F3-970C-0AD579489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1318</Words>
  <Characters>7249</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McKnight, Renee</dc:creator>
  <cp:keywords/>
  <cp:lastModifiedBy>Quirion, Dominique</cp:lastModifiedBy>
  <cp:revision>5</cp:revision>
  <dcterms:created xsi:type="dcterms:W3CDTF">2026-06-19T13:44:00Z</dcterms:created>
  <dcterms:modified xsi:type="dcterms:W3CDTF">2026-06-22T11:54:00Z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2025-04-30T16:32:29Z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0e62fcd1-dab0-456f-96cf-80a90e704898</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0x010100DF133360933AF14FB4514332580E124A</vt:lpwstr>
  </property>
  <property fmtid="{D5CDD505-2E9C-101B-9397-08002B2CF9AE}" pid="11" name="MediaServiceImageTags">
    <vt:lpwstr/>
  </property>
  <property fmtid="{D5CDD505-2E9C-101B-9397-08002B2CF9AE}" pid="12" name="_NewReviewCycle">
    <vt:lpwstr/>
  </property>
  <property fmtid="{D5CDD505-2E9C-101B-9397-08002B2CF9AE}" pid="13" name="_AdHocReviewCycleID">
    <vt:i4>2105179271</vt:i4>
  </property>
  <property fmtid="{D5CDD505-2E9C-101B-9397-08002B2CF9AE}" pid="14" name="_EmailSubject">
    <vt:lpwstr>Press release - for posting June 23</vt:lpwstr>
  </property>
  <property fmtid="{D5CDD505-2E9C-101B-9397-08002B2CF9AE}" pid="15" name="_AuthorEmail">
    <vt:lpwstr>dominique.quirion1@organon.com</vt:lpwstr>
  </property>
  <property fmtid="{D5CDD505-2E9C-101B-9397-08002B2CF9AE}" pid="16" name="_AuthorEmailDisplayName">
    <vt:lpwstr>Quirion, Dominique</vt:lpwstr>
  </property>
</Properties>
</file>